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5245">
      <w:pPr>
        <w:pStyle w:val="4"/>
        <w:autoSpaceDE w:val="0"/>
        <w:autoSpaceDN w:val="0"/>
        <w:adjustRightInd w:val="0"/>
        <w:snapToGrid w:val="0"/>
        <w:jc w:val="center"/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4744085</wp:posOffset>
            </wp:positionH>
            <wp:positionV relativeFrom="paragraph">
              <wp:posOffset>-163830</wp:posOffset>
            </wp:positionV>
            <wp:extent cx="732790" cy="772160"/>
            <wp:effectExtent l="0" t="0" r="0" b="8890"/>
            <wp:wrapSquare wrapText="bothSides"/>
            <wp:docPr id="5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4D59772">
      <w:pPr>
        <w:pStyle w:val="4"/>
        <w:autoSpaceDE w:val="0"/>
        <w:autoSpaceDN w:val="0"/>
        <w:adjustRightInd w:val="0"/>
        <w:snapToGrid w:val="0"/>
        <w:jc w:val="center"/>
      </w:pPr>
    </w:p>
    <w:p w14:paraId="3E45A4C3">
      <w:pPr>
        <w:pStyle w:val="4"/>
        <w:autoSpaceDE w:val="0"/>
        <w:autoSpaceDN w:val="0"/>
        <w:adjustRightInd w:val="0"/>
        <w:snapToGrid w:val="0"/>
        <w:jc w:val="center"/>
        <w:rPr>
          <w:kern w:val="0"/>
          <w:sz w:val="52"/>
        </w:rPr>
      </w:pPr>
      <w:r>
        <w:rPr>
          <w:rFonts w:hint="eastAsi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-433070</wp:posOffset>
            </wp:positionV>
            <wp:extent cx="1663700" cy="715645"/>
            <wp:effectExtent l="0" t="0" r="12700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</w:t>
      </w:r>
      <w:r>
        <w:rPr>
          <w:rFonts w:hint="eastAsia"/>
          <w:kern w:val="0"/>
          <w:sz w:val="52"/>
        </w:rPr>
        <w:t xml:space="preserve">     </w:t>
      </w:r>
    </w:p>
    <w:p w14:paraId="53A7DFBC">
      <w:pPr>
        <w:tabs>
          <w:tab w:val="left" w:pos="8820"/>
        </w:tabs>
        <w:ind w:firstLine="1204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bookmarkStart w:id="0" w:name="_Toc441433960"/>
      <w:bookmarkStart w:id="1" w:name="_Toc441433866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40"/>
          <w:position w:val="-30"/>
          <w:sz w:val="52"/>
          <w:szCs w:val="52"/>
        </w:rPr>
        <w:t>河南省地方计量</w:t>
      </w:r>
      <w:bookmarkEnd w:id="0"/>
      <w:bookmarkEnd w:id="1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40"/>
          <w:position w:val="-30"/>
          <w:sz w:val="52"/>
          <w:szCs w:val="52"/>
          <w:lang w:eastAsia="zh-CN"/>
        </w:rPr>
        <w:t>校准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40"/>
          <w:position w:val="-30"/>
          <w:sz w:val="52"/>
          <w:szCs w:val="52"/>
        </w:rPr>
        <w:t>规程</w:t>
      </w:r>
    </w:p>
    <w:p w14:paraId="36B8F349">
      <w:pPr>
        <w:spacing w:before="156" w:beforeLines="50" w:after="156" w:afterLines="50"/>
        <w:ind w:firstLine="584"/>
        <w:jc w:val="center"/>
        <w:rPr>
          <w:rFonts w:hint="eastAsia" w:ascii="黑体" w:eastAsia="黑体"/>
          <w:sz w:val="28"/>
          <w:szCs w:val="28"/>
          <w:lang w:eastAsia="zh-CN"/>
        </w:rPr>
      </w:pPr>
      <w:r>
        <w:rPr>
          <w:rFonts w:ascii="黑体" w:eastAsia="黑体"/>
          <w:spacing w:val="6"/>
          <w:kern w:val="0"/>
          <w:sz w:val="28"/>
        </w:rPr>
        <w:t xml:space="preserve">        </w:t>
      </w:r>
      <w:r>
        <w:rPr>
          <w:rFonts w:hint="eastAsia" w:ascii="黑体" w:eastAsia="黑体"/>
          <w:spacing w:val="6"/>
          <w:kern w:val="0"/>
          <w:sz w:val="28"/>
        </w:rPr>
        <w:t xml:space="preserve">        </w:t>
      </w:r>
      <w:r>
        <w:rPr>
          <w:rFonts w:ascii="黑体" w:eastAsia="黑体"/>
          <w:spacing w:val="6"/>
          <w:kern w:val="0"/>
          <w:sz w:val="28"/>
        </w:rPr>
        <w:t xml:space="preserve">   </w:t>
      </w:r>
      <w:r>
        <w:rPr>
          <w:rFonts w:hint="eastAsia" w:ascii="黑体" w:eastAsia="黑体"/>
          <w:spacing w:val="6"/>
          <w:kern w:val="0"/>
          <w:sz w:val="28"/>
        </w:rPr>
        <w:t xml:space="preserve">   </w:t>
      </w:r>
      <w:r>
        <w:rPr>
          <w:rFonts w:ascii="黑体" w:eastAsia="黑体"/>
          <w:spacing w:val="6"/>
          <w:kern w:val="0"/>
          <w:sz w:val="28"/>
        </w:rPr>
        <w:t xml:space="preserve"> </w:t>
      </w:r>
      <w:bookmarkStart w:id="2" w:name="_Toc11739372"/>
      <w:r>
        <w:rPr>
          <w:rFonts w:hint="eastAsia" w:ascii="黑体" w:eastAsia="黑体"/>
          <w:spacing w:val="6"/>
          <w:kern w:val="0"/>
          <w:sz w:val="28"/>
        </w:rPr>
        <w:t xml:space="preserve">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JJG（豫） XXXX-</w:t>
      </w:r>
      <w:bookmarkEnd w:id="2"/>
      <w:r>
        <w:rPr>
          <w:rFonts w:hint="eastAsia" w:ascii="黑体" w:hAnsi="黑体" w:eastAsia="黑体" w:cs="黑体"/>
          <w:color w:val="000000"/>
          <w:sz w:val="28"/>
          <w:szCs w:val="28"/>
        </w:rPr>
        <w:t>202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5</w:t>
      </w:r>
    </w:p>
    <w:p w14:paraId="5305692B">
      <w:pPr>
        <w:ind w:firstLine="422"/>
        <w:jc w:val="center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142240</wp:posOffset>
                </wp:positionV>
                <wp:extent cx="5902960" cy="20955"/>
                <wp:effectExtent l="0" t="6350" r="2540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2960" cy="20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pt;margin-top:11.2pt;height:1.65pt;width:464.8pt;z-index:251661312;mso-width-relative:page;mso-height-relative:page;" filled="f" stroked="t" coordsize="21600,21600" o:gfxdata="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3/KW2QAAAAkBAAAPAAAAAAAAAAEAIAAAACIAAABkcnMvZG93bnJldi54bWxQSwEC&#10;FAAUAAAACACHTuJASIIR4/MBAADHAwAADgAAAAAAAAABACAAAAAo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E86F0F0">
      <w:pPr>
        <w:ind w:firstLine="422"/>
        <w:rPr>
          <w:b/>
        </w:rPr>
      </w:pPr>
    </w:p>
    <w:p w14:paraId="2CEE6319">
      <w:pPr>
        <w:ind w:firstLine="1040"/>
        <w:jc w:val="center"/>
        <w:rPr>
          <w:rFonts w:hint="eastAsia" w:ascii="黑体" w:hAnsi="宋体" w:eastAsia="黑体"/>
          <w:sz w:val="52"/>
          <w:szCs w:val="52"/>
        </w:rPr>
      </w:pPr>
    </w:p>
    <w:p w14:paraId="146056B1">
      <w:pPr>
        <w:ind w:firstLine="800"/>
        <w:jc w:val="center"/>
        <w:rPr>
          <w:rFonts w:hint="eastAsia" w:ascii="黑体" w:hAnsi="宋体" w:eastAsia="黑体"/>
          <w:sz w:val="40"/>
          <w:szCs w:val="40"/>
        </w:rPr>
      </w:pPr>
    </w:p>
    <w:p w14:paraId="68C347B1">
      <w:pPr>
        <w:spacing w:line="540" w:lineRule="exact"/>
        <w:jc w:val="center"/>
        <w:rPr>
          <w:rFonts w:hint="default" w:eastAsia="黑体"/>
          <w:sz w:val="52"/>
          <w:lang w:val="en-US" w:eastAsia="zh-CN"/>
        </w:rPr>
      </w:pPr>
      <w:r>
        <w:rPr>
          <w:rFonts w:hint="eastAsia" w:eastAsia="黑体"/>
          <w:sz w:val="52"/>
          <w:lang w:val="en-US" w:eastAsia="zh-CN"/>
        </w:rPr>
        <w:t>硅烷气体检测仪校准规范</w:t>
      </w:r>
    </w:p>
    <w:p w14:paraId="076D35D2">
      <w:pPr>
        <w:jc w:val="center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Calibration Specification for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Silane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G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as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D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etector</w:t>
      </w:r>
    </w:p>
    <w:p w14:paraId="774CD0F0">
      <w:pPr>
        <w:jc w:val="center"/>
        <w:rPr>
          <w:b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宋体" w:eastAsia="黑体"/>
          <w:sz w:val="28"/>
          <w:szCs w:val="28"/>
        </w:rPr>
        <w:t>(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征求意见</w:t>
      </w:r>
      <w:r>
        <w:rPr>
          <w:rFonts w:hint="eastAsia" w:ascii="黑体" w:hAnsi="宋体" w:eastAsia="黑体"/>
          <w:sz w:val="28"/>
          <w:szCs w:val="28"/>
        </w:rPr>
        <w:t>稿)</w:t>
      </w:r>
    </w:p>
    <w:p w14:paraId="150C2CA5">
      <w:pPr>
        <w:ind w:firstLine="602"/>
        <w:jc w:val="center"/>
        <w:rPr>
          <w:b/>
          <w:sz w:val="30"/>
        </w:rPr>
      </w:pPr>
    </w:p>
    <w:p w14:paraId="3FF2C9C6">
      <w:pPr>
        <w:ind w:firstLine="602"/>
        <w:jc w:val="center"/>
        <w:rPr>
          <w:b/>
          <w:sz w:val="30"/>
        </w:rPr>
      </w:pPr>
    </w:p>
    <w:p w14:paraId="0858343B">
      <w:pPr>
        <w:ind w:firstLine="602"/>
        <w:rPr>
          <w:rFonts w:ascii="黑体" w:eastAsia="黑体"/>
          <w:b/>
          <w:sz w:val="30"/>
        </w:rPr>
      </w:pPr>
    </w:p>
    <w:p w14:paraId="1CEE7A88">
      <w:pPr>
        <w:ind w:firstLine="602"/>
        <w:rPr>
          <w:rFonts w:ascii="黑体" w:eastAsia="黑体"/>
          <w:b/>
          <w:sz w:val="30"/>
        </w:rPr>
      </w:pPr>
    </w:p>
    <w:p w14:paraId="0AD6E24F">
      <w:pPr>
        <w:ind w:firstLine="402"/>
        <w:rPr>
          <w:rFonts w:ascii="黑体" w:eastAsia="黑体"/>
          <w:b/>
          <w:sz w:val="20"/>
          <w:szCs w:val="11"/>
        </w:rPr>
      </w:pPr>
    </w:p>
    <w:p w14:paraId="76A3245C">
      <w:pPr>
        <w:ind w:firstLine="402"/>
        <w:rPr>
          <w:rFonts w:ascii="黑体" w:eastAsia="黑体"/>
          <w:b/>
          <w:sz w:val="20"/>
          <w:szCs w:val="11"/>
        </w:rPr>
      </w:pPr>
    </w:p>
    <w:p w14:paraId="4644635A">
      <w:pPr>
        <w:ind w:firstLine="221"/>
        <w:rPr>
          <w:rFonts w:ascii="黑体" w:eastAsia="黑体"/>
          <w:b/>
          <w:sz w:val="11"/>
          <w:szCs w:val="2"/>
        </w:rPr>
      </w:pPr>
    </w:p>
    <w:p w14:paraId="36318947">
      <w:pPr>
        <w:ind w:firstLine="221"/>
        <w:rPr>
          <w:rFonts w:ascii="黑体" w:eastAsia="黑体"/>
          <w:b/>
          <w:sz w:val="11"/>
          <w:szCs w:val="2"/>
        </w:rPr>
      </w:pPr>
    </w:p>
    <w:p w14:paraId="19D14BD2">
      <w:pPr>
        <w:ind w:firstLine="221"/>
        <w:rPr>
          <w:rFonts w:ascii="黑体" w:eastAsia="黑体"/>
          <w:b/>
          <w:sz w:val="11"/>
          <w:szCs w:val="2"/>
        </w:rPr>
      </w:pPr>
    </w:p>
    <w:p w14:paraId="4D244580">
      <w:pPr>
        <w:rPr>
          <w:rFonts w:ascii="黑体" w:eastAsia="黑体"/>
          <w:b/>
          <w:sz w:val="16"/>
          <w:szCs w:val="8"/>
        </w:rPr>
      </w:pPr>
    </w:p>
    <w:p w14:paraId="7393F6B1">
      <w:pPr>
        <w:ind w:firstLine="442"/>
        <w:rPr>
          <w:rFonts w:ascii="黑体" w:eastAsia="黑体"/>
          <w:b/>
          <w:sz w:val="22"/>
          <w:szCs w:val="15"/>
        </w:rPr>
      </w:pPr>
    </w:p>
    <w:p w14:paraId="48DEFD56">
      <w:pPr>
        <w:ind w:firstLine="442"/>
        <w:rPr>
          <w:rFonts w:ascii="黑体" w:eastAsia="黑体"/>
          <w:b/>
          <w:sz w:val="22"/>
          <w:szCs w:val="15"/>
        </w:rPr>
      </w:pPr>
    </w:p>
    <w:p w14:paraId="3DCC256C">
      <w:pPr>
        <w:ind w:firstLine="442"/>
        <w:rPr>
          <w:rFonts w:ascii="黑体" w:eastAsia="黑体"/>
          <w:b/>
          <w:sz w:val="22"/>
          <w:szCs w:val="15"/>
        </w:rPr>
      </w:pPr>
    </w:p>
    <w:p w14:paraId="21534D5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XX发布                            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XX实施</w:t>
      </w:r>
    </w:p>
    <w:p w14:paraId="0369DE51">
      <w:pPr>
        <w:spacing w:before="312" w:beforeLines="100"/>
        <w:ind w:firstLine="883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  <w:r>
        <w:rPr>
          <w:rFonts w:asciiTheme="majorEastAsia" w:hAnsiTheme="majorEastAsia" w:eastAsiaTheme="majorEastAsia" w:cstheme="majorEastAsia"/>
          <w:b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9242425</wp:posOffset>
                </wp:positionV>
                <wp:extent cx="593979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727.75pt;height:0pt;width:467.7pt;mso-position-vertical-relative:page;z-index:251662336;mso-width-relative:page;mso-height-relative:page;" filled="f" stroked="t" coordsize="21600,21600" o:allowoverlap="f" o:gfxdata="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cd&#10;6KnaAAAADQEAAA8AAAAAAAAAAQAgAAAAIgAAAGRycy9kb3ducmV2LnhtbFBLAQIUABQAAAAIAIdO&#10;4kAolNcA6AEAALkDAAAOAAAAAAAAAAEAIAAAACk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bookmarkStart w:id="3" w:name="_Toc441433964"/>
      <w:bookmarkStart w:id="4" w:name="_Toc441433870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56"/>
          <w:kern w:val="0"/>
          <w:sz w:val="44"/>
          <w:szCs w:val="44"/>
          <w:fitText w:val="5415" w:id="-1950720512"/>
        </w:rPr>
        <w:t>河南省市场监督管理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kern w:val="0"/>
          <w:sz w:val="44"/>
          <w:szCs w:val="44"/>
          <w:fitText w:val="5415" w:id="-1950720512"/>
        </w:rPr>
        <w:t>局</w:t>
      </w:r>
      <w:r>
        <w:rPr>
          <w:rFonts w:hint="eastAsia" w:ascii="宋体" w:hAnsi="宋体"/>
          <w:b/>
          <w:bCs/>
          <w:color w:val="000000"/>
          <w:spacing w:val="20"/>
          <w:sz w:val="44"/>
        </w:rPr>
        <w:t xml:space="preserve"> </w:t>
      </w:r>
      <w:r>
        <w:rPr>
          <w:rFonts w:hint="eastAsia" w:ascii="黑体" w:hAnsi="Calibri" w:eastAsia="黑体"/>
          <w:color w:val="000000"/>
          <w:spacing w:val="60"/>
          <w:sz w:val="28"/>
          <w:szCs w:val="24"/>
        </w:rPr>
        <w:t>发布</w:t>
      </w:r>
      <w:bookmarkEnd w:id="3"/>
      <w:bookmarkEnd w:id="4"/>
    </w:p>
    <w:p w14:paraId="12CB9FEE">
      <w:pPr>
        <w:spacing w:before="624" w:beforeLines="200"/>
        <w:ind w:firstLine="440" w:firstLineChars="100"/>
        <w:rPr>
          <w:rFonts w:hint="eastAsia" w:ascii="黑体" w:hAnsi="黑体" w:eastAsia="黑体" w:cs="黑体"/>
          <w:sz w:val="44"/>
          <w:szCs w:val="52"/>
        </w:rPr>
      </w:pPr>
    </w:p>
    <w:p w14:paraId="5392F1A8">
      <w:pPr>
        <w:spacing w:before="156" w:beforeLines="50" w:line="360" w:lineRule="auto"/>
        <w:ind w:firstLine="440" w:firstLineChars="100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default" w:ascii="黑体" w:hAnsi="黑体" w:eastAsia="黑体" w:cs="黑体"/>
          <w:sz w:val="44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112395</wp:posOffset>
                </wp:positionV>
                <wp:extent cx="1644650" cy="770255"/>
                <wp:effectExtent l="9525" t="9525" r="22225" b="20320"/>
                <wp:wrapNone/>
                <wp:docPr id="1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DA6521">
                            <w:pPr>
                              <w:spacing w:before="218" w:beforeLines="70" w:line="500" w:lineRule="exact"/>
                              <w:jc w:val="center"/>
                              <w:rPr>
                                <w:rFonts w:hint="eastAsia" w:ascii="黑体" w:hAnsi="宋体" w:eastAsia="黑体"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Cs/>
                                <w:sz w:val="28"/>
                                <w:szCs w:val="28"/>
                              </w:rPr>
                              <w:t>JJ</w:t>
                            </w:r>
                            <w:r>
                              <w:rPr>
                                <w:rFonts w:hint="eastAsia" w:ascii="黑体" w:eastAsia="黑体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rFonts w:hint="eastAsia" w:ascii="黑体" w:eastAsia="黑体"/>
                                <w:bCs/>
                                <w:sz w:val="28"/>
                                <w:szCs w:val="28"/>
                              </w:rPr>
                              <w:t>（豫）</w:t>
                            </w:r>
                            <w:r>
                              <w:rPr>
                                <w:rFonts w:hint="eastAsia" w:ascii="黑体" w:hAnsi="宋体" w:eastAsia="黑体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hint="eastAsia" w:ascii="黑体" w:eastAsia="黑体"/>
                                <w:bCs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rFonts w:hint="eastAsia" w:ascii="黑体" w:eastAsia="黑体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lIns="91440" tIns="108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09.55pt;margin-top:8.85pt;height:60.65pt;width:129.5pt;z-index:251665408;mso-width-relative:page;mso-height-relative:page;" fillcolor="#FFFFFF" filled="t" stroked="t" coordsize="21600,21600" o:gfxdata="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cqR82AAAAAoBAAAPAAAAAAAAAAEAIAAAACIAAABkcnMvZG93bnJldi54bWxQSwEC&#10;FAAUAAAACACHTuJAsrP6Zi0CAAB7BAAADgAAAAAAAAABACAAAAAnAQAAZHJzL2Uyb0RvYy54bWxQ&#10;SwUGAAAAAAYABgBZAQAAxgUAAAAA&#10;">
                <v:fill on="t" focussize="0,0"/>
                <v:stroke weight="1.5pt" color="#000000" joinstyle="miter" dashstyle="1 1"/>
                <v:imagedata o:title=""/>
                <o:lock v:ext="edit" aspectratio="f"/>
                <v:textbox inset="2.54mm,0.3mm,2.54mm,1.27mm">
                  <w:txbxContent>
                    <w:p w14:paraId="0BDA6521">
                      <w:pPr>
                        <w:spacing w:before="218" w:beforeLines="70" w:line="500" w:lineRule="exact"/>
                        <w:jc w:val="center"/>
                        <w:rPr>
                          <w:rFonts w:hint="eastAsia" w:ascii="黑体" w:hAnsi="宋体" w:eastAsia="黑体"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Cs/>
                          <w:sz w:val="28"/>
                          <w:szCs w:val="28"/>
                        </w:rPr>
                        <w:t>JJ</w:t>
                      </w:r>
                      <w:r>
                        <w:rPr>
                          <w:rFonts w:hint="eastAsia" w:ascii="黑体" w:eastAsia="黑体"/>
                          <w:bCs/>
                          <w:sz w:val="28"/>
                          <w:szCs w:val="28"/>
                          <w:lang w:val="en-US" w:eastAsia="zh-CN"/>
                        </w:rPr>
                        <w:t>F</w:t>
                      </w:r>
                      <w:r>
                        <w:rPr>
                          <w:rFonts w:hint="eastAsia" w:ascii="黑体" w:eastAsia="黑体"/>
                          <w:bCs/>
                          <w:sz w:val="28"/>
                          <w:szCs w:val="28"/>
                        </w:rPr>
                        <w:t>（豫）</w:t>
                      </w:r>
                      <w:r>
                        <w:rPr>
                          <w:rFonts w:hint="eastAsia" w:ascii="黑体" w:hAnsi="宋体" w:eastAsia="黑体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hint="eastAsia" w:ascii="黑体" w:eastAsia="黑体"/>
                          <w:bCs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rFonts w:hint="eastAsia" w:ascii="黑体" w:eastAsia="黑体"/>
                          <w:bCs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硅烷气体检测仪校准规范</w:t>
      </w:r>
    </w:p>
    <w:p w14:paraId="6A47F2CD">
      <w:pPr>
        <w:ind w:firstLine="840" w:firstLineChars="3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Calibration Specification for</w:t>
      </w:r>
    </w:p>
    <w:p w14:paraId="6A946383">
      <w:pPr>
        <w:ind w:firstLine="1400" w:firstLineChars="500"/>
        <w:jc w:val="both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Silane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G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as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D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etector</w:t>
      </w:r>
    </w:p>
    <w:p w14:paraId="24FA4180">
      <w:pPr>
        <w:pStyle w:val="6"/>
        <w:spacing w:line="360" w:lineRule="auto"/>
        <w:ind w:firstLine="420"/>
        <w:rPr>
          <w:rFonts w:hint="default" w:ascii="Times New Roman" w:hAnsi="Times New Roman"/>
          <w:color w:val="000000"/>
          <w:sz w:val="28"/>
          <w:szCs w:val="28"/>
        </w:rPr>
      </w:pPr>
      <w:r>
        <w:rPr>
          <w:rFonts w:hint="default" w:eastAsia="黑体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174625</wp:posOffset>
                </wp:positionV>
                <wp:extent cx="5588000" cy="57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75pt;margin-top:13.75pt;height:0.45pt;width:440pt;z-index:251664384;mso-width-relative:page;mso-height-relative:page;" filled="f" stroked="t" coordsize="21600,21600" o:gfxdata="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8/8q/UAAAACAEAAA8AAAAAAAAAAQAgAAAAIgAAAGRycy9kb3ducmV2LnhtbFBL&#10;AQIUABQAAAAIAIdO4kB1IU0/+gEAAPM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0A06BB4">
      <w:pPr>
        <w:pStyle w:val="6"/>
        <w:spacing w:line="360" w:lineRule="auto"/>
        <w:ind w:firstLine="480"/>
        <w:rPr>
          <w:rFonts w:hint="default" w:ascii="Times New Roman" w:hAnsi="Times New Roman"/>
          <w:sz w:val="24"/>
        </w:rPr>
      </w:pPr>
    </w:p>
    <w:p w14:paraId="70957EB2">
      <w:pPr>
        <w:pStyle w:val="6"/>
        <w:spacing w:line="360" w:lineRule="auto"/>
        <w:ind w:firstLine="480"/>
        <w:rPr>
          <w:rFonts w:hint="default" w:ascii="Times New Roman" w:hAnsi="Times New Roman"/>
          <w:sz w:val="24"/>
        </w:rPr>
      </w:pPr>
    </w:p>
    <w:p w14:paraId="3589C853">
      <w:pPr>
        <w:pStyle w:val="6"/>
        <w:spacing w:line="360" w:lineRule="auto"/>
        <w:ind w:firstLine="480"/>
        <w:rPr>
          <w:rFonts w:hint="default" w:ascii="Times New Roman" w:hAnsi="Times New Roman"/>
          <w:sz w:val="24"/>
        </w:rPr>
      </w:pPr>
    </w:p>
    <w:p w14:paraId="2BF19C51">
      <w:pPr>
        <w:pStyle w:val="6"/>
        <w:spacing w:line="360" w:lineRule="auto"/>
        <w:ind w:firstLine="480"/>
        <w:rPr>
          <w:rFonts w:hint="default" w:ascii="Times New Roman" w:hAnsi="Times New Roman"/>
          <w:sz w:val="24"/>
        </w:rPr>
      </w:pPr>
    </w:p>
    <w:p w14:paraId="3A521CB9">
      <w:pPr>
        <w:pStyle w:val="6"/>
        <w:spacing w:line="360" w:lineRule="auto"/>
        <w:ind w:firstLine="480"/>
        <w:rPr>
          <w:rFonts w:hint="default" w:ascii="Times New Roman" w:hAnsi="Times New Roman"/>
          <w:sz w:val="24"/>
        </w:rPr>
      </w:pPr>
    </w:p>
    <w:p w14:paraId="54109334">
      <w:pPr>
        <w:pStyle w:val="6"/>
        <w:spacing w:line="360" w:lineRule="auto"/>
        <w:ind w:firstLine="480"/>
        <w:rPr>
          <w:rFonts w:hint="default" w:ascii="Times New Roman" w:hAnsi="Times New Roman"/>
          <w:sz w:val="24"/>
        </w:rPr>
      </w:pPr>
    </w:p>
    <w:p w14:paraId="300F91B6">
      <w:pPr>
        <w:pStyle w:val="5"/>
        <w:ind w:firstLine="840" w:firstLineChars="3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91ABC1">
      <w:pPr>
        <w:pStyle w:val="5"/>
        <w:ind w:firstLine="840" w:firstLineChars="3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归 口 单 位 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河南省化学与标准物质计量技术委员会</w:t>
      </w:r>
    </w:p>
    <w:p w14:paraId="0BDA2BF8">
      <w:pPr>
        <w:pStyle w:val="5"/>
        <w:ind w:firstLine="840" w:firstLineChars="3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主要起草单位：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河南省计量测试科学研究院</w:t>
      </w:r>
    </w:p>
    <w:p w14:paraId="4E01880E">
      <w:pPr>
        <w:pStyle w:val="5"/>
        <w:ind w:firstLine="852" w:firstLineChars="300"/>
        <w:rPr>
          <w:rFonts w:hint="default" w:ascii="宋体" w:hAnsi="宋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2"/>
          <w:kern w:val="0"/>
          <w:sz w:val="28"/>
          <w:szCs w:val="28"/>
          <w:fitText w:val="1988" w:id="-1469857792"/>
          <w14:textFill>
            <w14:solidFill>
              <w14:schemeClr w14:val="tx1"/>
            </w14:solidFill>
          </w14:textFill>
        </w:rPr>
        <w:t>参加起草单位：</w:t>
      </w:r>
    </w:p>
    <w:p w14:paraId="2B6D4EF4">
      <w:pPr>
        <w:pStyle w:val="5"/>
        <w:ind w:firstLine="798" w:firstLineChars="285"/>
        <w:rPr>
          <w:rFonts w:hint="eastAsia" w:ascii="黑体" w:hAnsi="黑体" w:eastAsia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01FB05">
      <w:pPr>
        <w:pStyle w:val="6"/>
        <w:spacing w:line="360" w:lineRule="auto"/>
        <w:ind w:firstLine="560"/>
        <w:jc w:val="center"/>
        <w:rPr>
          <w:rFonts w:hint="default" w:ascii="Times New Roman" w:hAnsi="Times New Roman" w:eastAsia="黑体"/>
          <w:sz w:val="28"/>
        </w:rPr>
      </w:pPr>
    </w:p>
    <w:p w14:paraId="1FA6FC4D">
      <w:pPr>
        <w:pStyle w:val="6"/>
        <w:spacing w:line="360" w:lineRule="auto"/>
        <w:ind w:firstLine="560"/>
        <w:jc w:val="center"/>
        <w:rPr>
          <w:rFonts w:hint="default" w:ascii="Times New Roman" w:hAnsi="Times New Roman" w:eastAsia="黑体"/>
          <w:sz w:val="28"/>
        </w:rPr>
      </w:pPr>
    </w:p>
    <w:p w14:paraId="7CE65342">
      <w:pPr>
        <w:pStyle w:val="6"/>
        <w:spacing w:line="360" w:lineRule="auto"/>
        <w:ind w:firstLine="560"/>
        <w:jc w:val="center"/>
        <w:rPr>
          <w:rFonts w:hint="default" w:ascii="Times New Roman" w:hAnsi="Times New Roman" w:eastAsia="黑体"/>
          <w:sz w:val="28"/>
        </w:rPr>
      </w:pPr>
    </w:p>
    <w:p w14:paraId="32D5B625">
      <w:pPr>
        <w:pStyle w:val="6"/>
        <w:spacing w:line="360" w:lineRule="auto"/>
        <w:ind w:firstLine="560"/>
        <w:jc w:val="center"/>
        <w:rPr>
          <w:rFonts w:hint="default" w:ascii="Times New Roman" w:hAnsi="Times New Roman" w:eastAsia="黑体"/>
          <w:sz w:val="28"/>
        </w:rPr>
      </w:pPr>
    </w:p>
    <w:p w14:paraId="13DA61C6">
      <w:pPr>
        <w:pStyle w:val="6"/>
        <w:ind w:firstLine="260"/>
        <w:rPr>
          <w:rFonts w:hint="default" w:ascii="Times New Roman" w:hAnsi="Times New Roman"/>
          <w:sz w:val="13"/>
          <w:szCs w:val="13"/>
        </w:rPr>
      </w:pPr>
    </w:p>
    <w:p w14:paraId="7C45A2C9">
      <w:pPr>
        <w:pStyle w:val="6"/>
        <w:spacing w:line="360" w:lineRule="auto"/>
        <w:ind w:firstLine="560"/>
        <w:rPr>
          <w:rFonts w:hint="default" w:ascii="Times New Roman" w:hAnsi="Times New Roman"/>
          <w:sz w:val="28"/>
          <w:szCs w:val="28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40" w:right="1469" w:bottom="1318" w:left="1622" w:header="1247" w:footer="964" w:gutter="0"/>
          <w:pgNumType w:fmt="upperRoman" w:start="1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/>
          <w:sz w:val="28"/>
          <w:szCs w:val="28"/>
        </w:rPr>
        <w:t>本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规范</w:t>
      </w:r>
      <w:r>
        <w:rPr>
          <w:rFonts w:hint="default" w:ascii="Times New Roman" w:hAnsi="Times New Roman"/>
          <w:sz w:val="28"/>
          <w:szCs w:val="28"/>
        </w:rPr>
        <w:t>委托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河南省化学与标准物质计量技术委员会</w:t>
      </w:r>
      <w:r>
        <w:rPr>
          <w:rFonts w:hint="default" w:ascii="Times New Roman" w:hAnsi="Times New Roman"/>
          <w:sz w:val="28"/>
          <w:szCs w:val="28"/>
        </w:rPr>
        <w:t>负责解释</w:t>
      </w:r>
    </w:p>
    <w:p w14:paraId="4F696DF4">
      <w:pPr>
        <w:ind w:firstLine="560"/>
        <w:rPr>
          <w:rFonts w:eastAsia="黑体"/>
          <w:bCs/>
          <w:sz w:val="28"/>
        </w:rPr>
      </w:pPr>
    </w:p>
    <w:p w14:paraId="6117976A">
      <w:pPr>
        <w:ind w:firstLine="560"/>
        <w:rPr>
          <w:rFonts w:eastAsia="黑体"/>
          <w:bCs/>
          <w:sz w:val="28"/>
        </w:rPr>
      </w:pPr>
    </w:p>
    <w:p w14:paraId="0CCEBD6D">
      <w:pPr>
        <w:ind w:firstLine="560"/>
        <w:rPr>
          <w:rFonts w:eastAsia="黑体"/>
          <w:bCs/>
          <w:sz w:val="28"/>
        </w:rPr>
      </w:pPr>
    </w:p>
    <w:p w14:paraId="0554E547">
      <w:pPr>
        <w:pStyle w:val="6"/>
        <w:spacing w:line="360" w:lineRule="auto"/>
        <w:ind w:firstLine="480"/>
        <w:rPr>
          <w:rFonts w:hint="default" w:ascii="Times New Roman" w:hAnsi="Times New Roman"/>
          <w:sz w:val="24"/>
        </w:rPr>
      </w:pPr>
    </w:p>
    <w:p w14:paraId="792C4A8A">
      <w:pPr>
        <w:spacing w:line="360" w:lineRule="auto"/>
        <w:ind w:firstLine="840" w:firstLineChars="300"/>
        <w:rPr>
          <w:rFonts w:hint="eastAsia" w:ascii="黑体" w:hAnsi="黑体" w:eastAsia="黑体"/>
          <w:color w:val="000000"/>
          <w:sz w:val="28"/>
        </w:rPr>
      </w:pPr>
      <w:r>
        <w:rPr>
          <w:rFonts w:ascii="黑体" w:hAnsi="黑体" w:eastAsia="黑体"/>
          <w:color w:val="000000"/>
          <w:sz w:val="28"/>
        </w:rPr>
        <w:t>本规</w:t>
      </w:r>
      <w:r>
        <w:rPr>
          <w:rFonts w:hint="eastAsia" w:ascii="黑体" w:hAnsi="黑体" w:eastAsia="黑体"/>
          <w:color w:val="000000"/>
          <w:sz w:val="28"/>
          <w:lang w:val="en-US" w:eastAsia="zh-CN"/>
        </w:rPr>
        <w:t>范</w:t>
      </w:r>
      <w:r>
        <w:rPr>
          <w:rFonts w:ascii="黑体" w:hAnsi="黑体" w:eastAsia="黑体"/>
          <w:color w:val="000000"/>
          <w:sz w:val="28"/>
        </w:rPr>
        <w:t>主要起草人：</w:t>
      </w:r>
    </w:p>
    <w:p w14:paraId="14D9F872">
      <w:pPr>
        <w:tabs>
          <w:tab w:val="left" w:pos="840"/>
        </w:tabs>
        <w:spacing w:line="360" w:lineRule="auto"/>
        <w:ind w:firstLine="1680" w:firstLineChars="600"/>
        <w:rPr>
          <w:rFonts w:hint="eastAsia" w:ascii="黑体" w:hAnsi="黑体" w:eastAsia="黑体"/>
          <w:sz w:val="28"/>
          <w:szCs w:val="28"/>
        </w:rPr>
      </w:pPr>
    </w:p>
    <w:p w14:paraId="7165B766">
      <w:pPr>
        <w:tabs>
          <w:tab w:val="left" w:pos="840"/>
        </w:tabs>
        <w:spacing w:line="360" w:lineRule="auto"/>
        <w:ind w:firstLine="1680" w:firstLineChars="600"/>
        <w:rPr>
          <w:rFonts w:hint="eastAsia" w:ascii="黑体" w:hAnsi="黑体" w:eastAsia="黑体"/>
          <w:sz w:val="28"/>
          <w:szCs w:val="28"/>
        </w:rPr>
      </w:pPr>
    </w:p>
    <w:p w14:paraId="6EFB7C5E">
      <w:pPr>
        <w:tabs>
          <w:tab w:val="left" w:pos="840"/>
        </w:tabs>
        <w:spacing w:line="360" w:lineRule="auto"/>
        <w:ind w:firstLine="1680" w:firstLineChars="600"/>
        <w:rPr>
          <w:rFonts w:hint="eastAsia" w:ascii="黑体" w:hAnsi="黑体" w:eastAsia="黑体"/>
          <w:sz w:val="28"/>
          <w:szCs w:val="28"/>
        </w:rPr>
      </w:pPr>
    </w:p>
    <w:p w14:paraId="01930540">
      <w:pPr>
        <w:tabs>
          <w:tab w:val="left" w:pos="840"/>
        </w:tabs>
        <w:spacing w:line="360" w:lineRule="auto"/>
        <w:ind w:firstLine="1680" w:firstLineChars="60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参加起草人：</w:t>
      </w:r>
    </w:p>
    <w:p w14:paraId="1FF74AB8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68CC1A42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00FFE7C0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520FE5EF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0117BF94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09A27BCE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10CE7444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22B12021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36BC4D55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184807F7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41F66BDB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03409B91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268A3930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02CC7D43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409962CA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38488C8A">
      <w:pPr>
        <w:ind w:firstLine="800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0478DB48">
      <w:pPr>
        <w:spacing w:line="240" w:lineRule="exact"/>
        <w:ind w:firstLine="720"/>
        <w:jc w:val="center"/>
        <w:rPr>
          <w:rFonts w:eastAsia="方正大黑简体"/>
          <w:bCs/>
          <w:sz w:val="36"/>
          <w:szCs w:val="36"/>
        </w:rPr>
      </w:pPr>
    </w:p>
    <w:p w14:paraId="13D47D27">
      <w:pPr>
        <w:spacing w:line="240" w:lineRule="exact"/>
        <w:ind w:firstLine="720"/>
        <w:jc w:val="center"/>
        <w:rPr>
          <w:rFonts w:eastAsia="方正大黑简体"/>
          <w:bCs/>
          <w:sz w:val="36"/>
          <w:szCs w:val="36"/>
        </w:rPr>
        <w:sectPr>
          <w:footerReference r:id="rId8" w:type="default"/>
          <w:pgSz w:w="11907" w:h="16839"/>
          <w:pgMar w:top="1608" w:right="1097" w:bottom="1150" w:left="1390" w:header="1332" w:footer="990" w:gutter="0"/>
          <w:pgNumType w:start="1"/>
          <w:cols w:space="720" w:num="1"/>
        </w:sectPr>
      </w:pPr>
    </w:p>
    <w:p w14:paraId="50A84757">
      <w:pPr>
        <w:spacing w:line="240" w:lineRule="exact"/>
        <w:ind w:firstLine="720"/>
        <w:jc w:val="center"/>
        <w:rPr>
          <w:rFonts w:eastAsia="方正大黑简体"/>
          <w:bCs/>
          <w:sz w:val="36"/>
          <w:szCs w:val="36"/>
        </w:rPr>
      </w:pPr>
    </w:p>
    <w:p w14:paraId="3AEA953B">
      <w:pPr>
        <w:spacing w:before="240" w:beforeLines="100" w:line="360" w:lineRule="auto"/>
        <w:ind w:firstLine="880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t xml:space="preserve">目  </w:t>
      </w:r>
      <w:r>
        <w:rPr>
          <w:rFonts w:hint="eastAsia" w:eastAsia="黑体"/>
          <w:bCs/>
          <w:sz w:val="44"/>
          <w:szCs w:val="44"/>
        </w:rPr>
        <w:t xml:space="preserve"> </w:t>
      </w:r>
      <w:r>
        <w:rPr>
          <w:rFonts w:eastAsia="黑体"/>
          <w:bCs/>
          <w:sz w:val="44"/>
          <w:szCs w:val="44"/>
        </w:rPr>
        <w:t xml:space="preserve"> 录</w:t>
      </w:r>
    </w:p>
    <w:p w14:paraId="1EB6225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bookmarkStart w:id="5" w:name="_Hlt406873366"/>
      <w:bookmarkStart w:id="6" w:name="_Hlt406873367"/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引言</w:t>
      </w:r>
      <w:bookmarkEnd w:id="5"/>
      <w:bookmarkEnd w:id="6"/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……………………………………………………………………………………………(Ⅱ)</w:t>
      </w:r>
    </w:p>
    <w:p w14:paraId="1CF5BF6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1  范围………………………………………………………………………………………（1）</w:t>
      </w:r>
    </w:p>
    <w:p w14:paraId="351DDE9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2  引用文件…………………………………………………………………………………（1）</w:t>
      </w:r>
    </w:p>
    <w:p w14:paraId="1870E72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3  概述………………………………………………………………………………………（1）</w:t>
      </w:r>
    </w:p>
    <w:p w14:paraId="41D94DE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4  计量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特性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…………………………………………………………………………………（1）</w:t>
      </w:r>
    </w:p>
    <w:p w14:paraId="62E051D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 xml:space="preserve">5  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校准条件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…………………………………………………………………………………（2）</w:t>
      </w:r>
    </w:p>
    <w:p w14:paraId="33B4B14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distribute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5.1  外观与结构……………………………………………………………………………（2）</w:t>
      </w:r>
    </w:p>
    <w:p w14:paraId="67DAA13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distribute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5.2  标志和标识……………………………………………………………………………（2）</w:t>
      </w:r>
    </w:p>
    <w:p w14:paraId="1A90505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5.3  通电检查………………………………………………………………………………（2）</w:t>
      </w:r>
    </w:p>
    <w:p w14:paraId="5AA042A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 xml:space="preserve">6  </w:t>
      </w:r>
      <w:r>
        <w:rPr>
          <w:rFonts w:hint="eastAsia"/>
          <w:sz w:val="24"/>
          <w:lang w:val="en-US" w:eastAsia="zh-CN"/>
        </w:rPr>
        <w:t>校准项目和校准方法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……………………………………………………………………（2）</w:t>
      </w:r>
    </w:p>
    <w:p w14:paraId="2EFD337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 xml:space="preserve">6.1  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示值误差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………………………………………………………………………………（2）</w:t>
      </w:r>
    </w:p>
    <w:p w14:paraId="0AF7AF4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 xml:space="preserve">6.2  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重复性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…………………………………………………………………………………（3）</w:t>
      </w:r>
    </w:p>
    <w:p w14:paraId="13759B5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 xml:space="preserve">6.3  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响应时间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………………………………………………………………………………（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3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）</w:t>
      </w:r>
    </w:p>
    <w:p w14:paraId="1D108C8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 xml:space="preserve">6.4  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报警功能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………………………………………………………………………………（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3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）</w:t>
      </w:r>
    </w:p>
    <w:p w14:paraId="0589B54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 xml:space="preserve">6.5  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漂移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……………………………………………………………………………………（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3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）</w:t>
      </w:r>
    </w:p>
    <w:p w14:paraId="1FA70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  <w:lang w:eastAsia="zh-CN"/>
        </w:rPr>
        <w:t>校准结果表达</w:t>
      </w:r>
      <w:r>
        <w:rPr>
          <w:rStyle w:val="17"/>
          <w:rFonts w:hint="eastAsia" w:ascii="宋体" w:hAnsi="宋体" w:eastAsia="宋体" w:cs="宋体"/>
          <w:color w:val="auto"/>
          <w:sz w:val="24"/>
          <w:szCs w:val="24"/>
          <w:u w:val="none"/>
        </w:rPr>
        <w:t>……………………………………………………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</w:t>
      </w:r>
      <w:r>
        <w:rPr>
          <w:rStyle w:val="17"/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Style w:val="17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4</w:t>
      </w:r>
      <w:r>
        <w:rPr>
          <w:rStyle w:val="17"/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</w:p>
    <w:p w14:paraId="31EBA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 xml:space="preserve">8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复校时间间隔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……………………………………………………………………………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5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）</w:t>
      </w:r>
    </w:p>
    <w:p w14:paraId="353FFF2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 xml:space="preserve">附录A  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校准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记录格式………………………………………………………………………（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6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）</w:t>
      </w:r>
    </w:p>
    <w:p w14:paraId="0AB1350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</w:pP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 xml:space="preserve">附录B  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校准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证书内页格式…………………………………………………………………（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8</w:t>
      </w:r>
      <w:r>
        <w:rPr>
          <w:rStyle w:val="17"/>
          <w:rFonts w:hint="eastAsia" w:ascii="宋体" w:hAnsi="宋体" w:cs="宋体"/>
          <w:color w:val="auto"/>
          <w:sz w:val="24"/>
          <w:szCs w:val="24"/>
          <w:u w:val="none"/>
        </w:rPr>
        <w:t>）</w:t>
      </w:r>
    </w:p>
    <w:p w14:paraId="35FB8E99">
      <w:pPr>
        <w:pStyle w:val="5"/>
        <w:bidi w:val="0"/>
        <w:jc w:val="distribut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甲苯气体检测报警仪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示值误差测量不确定度评定示例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……………（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44CF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jc w:val="center"/>
        <w:textAlignment w:val="auto"/>
        <w:rPr>
          <w:rFonts w:eastAsia="黑体"/>
          <w:color w:val="000000"/>
          <w:spacing w:val="60"/>
          <w:sz w:val="28"/>
          <w:szCs w:val="24"/>
        </w:rPr>
      </w:pPr>
    </w:p>
    <w:p w14:paraId="7849EC9C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04E1F897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11B57C3C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3E316BBF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58C1DB93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41126522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66D7C63D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54C7900A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31974C6C">
      <w:pPr>
        <w:ind w:firstLine="800"/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</w:p>
    <w:p w14:paraId="236AA89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0" w:after="240" w:afterLines="100" w:line="360" w:lineRule="auto"/>
        <w:jc w:val="center"/>
        <w:textAlignment w:val="baseline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-10"/>
          <w:sz w:val="52"/>
          <w:szCs w:val="52"/>
        </w:rPr>
        <w:t>引    言</w:t>
      </w:r>
    </w:p>
    <w:p w14:paraId="54042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OLE_LINK7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bookmarkEnd w:id="7"/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本规范依据</w:t>
      </w:r>
      <w:r>
        <w:rPr>
          <w:rFonts w:hint="eastAsia" w:asciiTheme="minorEastAsia" w:hAnsiTheme="minorEastAsia" w:eastAsiaTheme="minorEastAsia" w:cstheme="minorEastAsia"/>
          <w:sz w:val="24"/>
        </w:rPr>
        <w:t>JJF 1001-2011《通用计量术语及定义》、JJF 1059.1-2012《测量不确定度评定与表示》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JJF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1071-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2010《国家计量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校准规范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编写规则》</w:t>
      </w:r>
      <w:r>
        <w:rPr>
          <w:rFonts w:hint="eastAsia" w:ascii="宋体" w:hAnsi="宋体"/>
          <w:sz w:val="24"/>
        </w:rPr>
        <w:t>为基础性规范进行制定</w:t>
      </w:r>
      <w:r>
        <w:rPr>
          <w:rFonts w:hint="eastAsia"/>
          <w:sz w:val="24"/>
        </w:rPr>
        <w:t>。</w:t>
      </w:r>
    </w:p>
    <w:p w14:paraId="6BAC7CE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规范</w:t>
      </w:r>
      <w:r>
        <w:rPr>
          <w:rFonts w:hint="eastAsia" w:asciiTheme="minorEastAsia" w:hAnsiTheme="minorEastAsia" w:eastAsiaTheme="minorEastAsia" w:cstheme="minorEastAsia"/>
          <w:sz w:val="24"/>
        </w:rPr>
        <w:t>的制定参考了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GB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12358-2024《作业场所环境气体检测报警仪通用技术要求》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 w14:paraId="47E278C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规范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为首次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发布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08D3635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footerReference r:id="rId9" w:type="default"/>
          <w:pgSz w:w="11907" w:h="16839"/>
          <w:pgMar w:top="1608" w:right="1097" w:bottom="1150" w:left="1390" w:header="1332" w:footer="990" w:gutter="0"/>
          <w:pgNumType w:fmt="upperRoman" w:start="1"/>
          <w:cols w:space="720" w:num="1"/>
        </w:sectPr>
      </w:pPr>
    </w:p>
    <w:p w14:paraId="79734D6C">
      <w:pPr>
        <w:spacing w:before="240" w:beforeLines="100" w:after="240" w:afterLines="100"/>
        <w:ind w:firstLine="641"/>
        <w:jc w:val="center"/>
        <w:rPr>
          <w:rFonts w:hint="default" w:eastAsia="宋体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硅烷气体检测仪校准规范</w:t>
      </w:r>
    </w:p>
    <w:p w14:paraId="1EF1C613">
      <w:pPr>
        <w:spacing w:before="120" w:beforeLines="50" w:after="120" w:afterLines="5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  范围</w:t>
      </w:r>
    </w:p>
    <w:p w14:paraId="25F39B4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本规程适用于</w:t>
      </w:r>
      <w:r>
        <w:rPr>
          <w:rFonts w:hint="eastAsia" w:ascii="宋体" w:hAnsi="宋体"/>
          <w:sz w:val="24"/>
          <w:lang w:val="en-US" w:eastAsia="zh-CN"/>
        </w:rPr>
        <w:t>测量作业场所环境空气中硅烷气体含量的硅烷气体检测仪</w:t>
      </w:r>
      <w:r>
        <w:rPr>
          <w:rFonts w:hint="eastAsia" w:ascii="宋体" w:hAnsi="宋体"/>
          <w:sz w:val="24"/>
        </w:rPr>
        <w:t>（以下简称仪器）的</w:t>
      </w:r>
      <w:r>
        <w:rPr>
          <w:rFonts w:hint="eastAsia" w:ascii="宋体" w:hAnsi="宋体"/>
          <w:sz w:val="24"/>
          <w:lang w:eastAsia="zh-CN"/>
        </w:rPr>
        <w:t>校准</w:t>
      </w:r>
      <w:r>
        <w:rPr>
          <w:rFonts w:hint="eastAsia" w:ascii="宋体" w:hAnsi="宋体"/>
          <w:sz w:val="24"/>
        </w:rPr>
        <w:t>。</w:t>
      </w:r>
    </w:p>
    <w:p w14:paraId="6CEF2203">
      <w:pPr>
        <w:spacing w:before="120" w:beforeLines="50" w:after="120" w:afterLines="5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  引用文件</w:t>
      </w:r>
    </w:p>
    <w:p w14:paraId="32248DB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本规程引用下列文件：</w:t>
      </w:r>
    </w:p>
    <w:p w14:paraId="449ABF64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lang w:eastAsia="zh-CN"/>
        </w:rPr>
        <w:t>GB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 xml:space="preserve"> 12358-2024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《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作业场所环境气体检测报警仪通用技术要求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》</w:t>
      </w:r>
    </w:p>
    <w:p w14:paraId="5DAED090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JJG 693-2011《可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燃气体检测报警器》</w:t>
      </w:r>
    </w:p>
    <w:p w14:paraId="26170E3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凡是注日期的引用文件，仅注日期的版本适用于本规程，凡是不注日期的引用文件，其最新版本（包括所有的修改单）</w:t>
      </w:r>
      <w:r>
        <w:rPr>
          <w:rFonts w:hint="eastAsia" w:ascii="宋体" w:hAnsi="宋体"/>
          <w:sz w:val="24"/>
          <w:lang w:val="en-US" w:eastAsia="zh-CN"/>
        </w:rPr>
        <w:t>适</w:t>
      </w:r>
      <w:r>
        <w:rPr>
          <w:rFonts w:hint="eastAsia" w:ascii="宋体" w:hAnsi="宋体"/>
          <w:sz w:val="24"/>
        </w:rPr>
        <w:t>用于本规程。</w:t>
      </w:r>
    </w:p>
    <w:p w14:paraId="4D62CD7C">
      <w:pPr>
        <w:spacing w:before="120" w:beforeLines="50" w:after="120" w:afterLines="5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  概述</w:t>
      </w:r>
    </w:p>
    <w:p w14:paraId="3DFFCE04">
      <w:pPr>
        <w:spacing w:line="360" w:lineRule="auto"/>
        <w:ind w:firstLine="480" w:firstLineChars="200"/>
        <w:rPr>
          <w:rFonts w:hint="default" w:ascii="宋体" w:hAnsi="宋体"/>
          <w:b/>
          <w:sz w:val="24"/>
          <w:lang w:val="en-US"/>
        </w:rPr>
      </w:pPr>
      <w:r>
        <w:rPr>
          <w:rFonts w:hint="eastAsia"/>
          <w:sz w:val="24"/>
        </w:rPr>
        <w:t>仪器</w:t>
      </w:r>
      <w:r>
        <w:rPr>
          <w:rFonts w:hint="eastAsia"/>
          <w:sz w:val="24"/>
          <w:lang w:eastAsia="zh-CN"/>
        </w:rPr>
        <w:t>的</w:t>
      </w:r>
      <w:r>
        <w:rPr>
          <w:rFonts w:hint="eastAsia"/>
          <w:sz w:val="24"/>
          <w:lang w:val="en-US" w:eastAsia="zh-CN"/>
        </w:rPr>
        <w:t>检测原理主要包括催化燃烧原理、电化学原理等</w:t>
      </w:r>
      <w:r>
        <w:rPr>
          <w:rFonts w:hint="eastAsia" w:ascii="宋体" w:hAnsi="宋体"/>
          <w:sz w:val="24"/>
        </w:rPr>
        <w:t>，仪器主要由</w:t>
      </w:r>
      <w:r>
        <w:rPr>
          <w:rFonts w:hint="eastAsia" w:ascii="宋体" w:hAnsi="宋体"/>
          <w:sz w:val="24"/>
          <w:lang w:val="en-US" w:eastAsia="zh-CN"/>
        </w:rPr>
        <w:t>传感器、电子部件、显示单元、报警单元等部分组成。</w:t>
      </w:r>
      <w:r>
        <w:rPr>
          <w:rFonts w:hint="eastAsia" w:ascii="宋体" w:hAnsi="宋体"/>
          <w:sz w:val="24"/>
        </w:rPr>
        <w:t>采样方式</w:t>
      </w:r>
      <w:r>
        <w:rPr>
          <w:rFonts w:hint="eastAsia" w:ascii="宋体" w:hAnsi="宋体"/>
          <w:sz w:val="24"/>
          <w:lang w:val="en-US" w:eastAsia="zh-CN"/>
        </w:rPr>
        <w:t>有</w:t>
      </w:r>
      <w:r>
        <w:rPr>
          <w:rFonts w:hint="eastAsia" w:ascii="宋体" w:hAnsi="宋体"/>
          <w:sz w:val="24"/>
        </w:rPr>
        <w:t>扩散式和吸入式</w:t>
      </w:r>
      <w:r>
        <w:rPr>
          <w:rFonts w:hint="eastAsia" w:ascii="宋体" w:hAnsi="宋体"/>
          <w:sz w:val="24"/>
          <w:lang w:val="en-US" w:eastAsia="zh-CN"/>
        </w:rPr>
        <w:t>，按使用方式分为固定式和便携式。</w:t>
      </w:r>
    </w:p>
    <w:p w14:paraId="31837BEB">
      <w:pPr>
        <w:spacing w:before="120" w:beforeLines="50" w:after="120" w:afterLines="50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黑体" w:hAnsi="黑体" w:eastAsia="黑体"/>
          <w:sz w:val="24"/>
        </w:rPr>
        <w:t>4  计量</w:t>
      </w:r>
      <w:r>
        <w:rPr>
          <w:rFonts w:hint="eastAsia" w:ascii="黑体" w:hAnsi="黑体" w:eastAsia="黑体"/>
          <w:sz w:val="24"/>
          <w:lang w:val="en-US" w:eastAsia="zh-CN"/>
        </w:rPr>
        <w:t>特性</w:t>
      </w:r>
    </w:p>
    <w:p w14:paraId="3CAFC3D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</w:t>
      </w:r>
      <w:r>
        <w:rPr>
          <w:rFonts w:hint="eastAsia" w:ascii="宋体" w:hAnsi="宋体"/>
          <w:sz w:val="24"/>
          <w:lang w:val="en-US" w:eastAsia="zh-CN"/>
        </w:rPr>
        <w:t>特性要求</w:t>
      </w:r>
      <w:r>
        <w:rPr>
          <w:rFonts w:hint="eastAsia" w:ascii="宋体" w:hAnsi="宋体"/>
          <w:sz w:val="24"/>
        </w:rPr>
        <w:t>见表1。</w:t>
      </w:r>
    </w:p>
    <w:p w14:paraId="41B4BECA">
      <w:pPr>
        <w:spacing w:before="120" w:beforeLines="50" w:after="120" w:afterLines="50"/>
        <w:jc w:val="center"/>
        <w:rPr>
          <w:rFonts w:hint="eastAsia" w:ascii="宋体" w:hAnsi="宋体"/>
          <w:sz w:val="24"/>
        </w:rPr>
      </w:pPr>
      <w:r>
        <w:rPr>
          <w:rFonts w:hint="eastAsia" w:ascii="黑体" w:hAnsi="黑体" w:eastAsia="黑体"/>
          <w:szCs w:val="21"/>
        </w:rPr>
        <w:t>表1  计量性能要求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5566"/>
      </w:tblGrid>
      <w:tr w14:paraId="4044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vAlign w:val="center"/>
          </w:tcPr>
          <w:p w14:paraId="72DD03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校准</w:t>
            </w:r>
            <w:r>
              <w:rPr>
                <w:szCs w:val="21"/>
              </w:rPr>
              <w:t>项目</w:t>
            </w:r>
          </w:p>
        </w:tc>
        <w:tc>
          <w:tcPr>
            <w:tcW w:w="5566" w:type="dxa"/>
            <w:vAlign w:val="center"/>
          </w:tcPr>
          <w:p w14:paraId="561C4F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计量性能要求</w:t>
            </w:r>
          </w:p>
        </w:tc>
      </w:tr>
      <w:tr w14:paraId="0BF1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vAlign w:val="center"/>
          </w:tcPr>
          <w:p w14:paraId="04FEAB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5566" w:type="dxa"/>
            <w:vAlign w:val="center"/>
          </w:tcPr>
          <w:p w14:paraId="253B05C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%FS</w:t>
            </w:r>
            <w:r>
              <w:rPr>
                <w:rFonts w:hint="eastAsia"/>
                <w:szCs w:val="21"/>
                <w:lang w:val="en-US" w:eastAsia="zh-CN"/>
              </w:rPr>
              <w:t>或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szCs w:val="21"/>
              </w:rPr>
              <w:t>%</w:t>
            </w:r>
          </w:p>
        </w:tc>
      </w:tr>
      <w:tr w14:paraId="73A2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vAlign w:val="center"/>
          </w:tcPr>
          <w:p w14:paraId="03279A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重复性</w:t>
            </w:r>
          </w:p>
        </w:tc>
        <w:tc>
          <w:tcPr>
            <w:tcW w:w="5566" w:type="dxa"/>
            <w:vAlign w:val="center"/>
          </w:tcPr>
          <w:p w14:paraId="76D32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%</w:t>
            </w:r>
          </w:p>
        </w:tc>
      </w:tr>
      <w:tr w14:paraId="0D1C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vAlign w:val="center"/>
          </w:tcPr>
          <w:p w14:paraId="6B7DC3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响应时间</w:t>
            </w:r>
          </w:p>
        </w:tc>
        <w:tc>
          <w:tcPr>
            <w:tcW w:w="5566" w:type="dxa"/>
            <w:vAlign w:val="center"/>
          </w:tcPr>
          <w:p w14:paraId="425930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扩散式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≤60 s</w:t>
            </w:r>
          </w:p>
          <w:p w14:paraId="749B0F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吸入式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≤30 s</w:t>
            </w:r>
          </w:p>
        </w:tc>
      </w:tr>
      <w:tr w14:paraId="7905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vAlign w:val="center"/>
          </w:tcPr>
          <w:p w14:paraId="177736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零点漂移</w:t>
            </w:r>
          </w:p>
        </w:tc>
        <w:tc>
          <w:tcPr>
            <w:tcW w:w="5566" w:type="dxa"/>
            <w:vAlign w:val="center"/>
          </w:tcPr>
          <w:p w14:paraId="40030E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%FS</w:t>
            </w:r>
          </w:p>
        </w:tc>
      </w:tr>
      <w:tr w14:paraId="0BAD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vAlign w:val="center"/>
          </w:tcPr>
          <w:p w14:paraId="5E04F3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量程漂移</w:t>
            </w:r>
          </w:p>
        </w:tc>
        <w:tc>
          <w:tcPr>
            <w:tcW w:w="5566" w:type="dxa"/>
            <w:vAlign w:val="center"/>
          </w:tcPr>
          <w:p w14:paraId="484991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%FS</w:t>
            </w:r>
          </w:p>
        </w:tc>
      </w:tr>
      <w:tr w14:paraId="4C68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vAlign w:val="center"/>
          </w:tcPr>
          <w:p w14:paraId="24C7D62A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报警功能及报警值</w:t>
            </w:r>
          </w:p>
        </w:tc>
        <w:tc>
          <w:tcPr>
            <w:tcW w:w="5566" w:type="dxa"/>
            <w:vAlign w:val="center"/>
          </w:tcPr>
          <w:p w14:paraId="5E8BE26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具有报警功能的仪器，在其测量范围内应具有报警设定值，当仪器示值达到报警设定值时，应能自动报警。</w:t>
            </w:r>
          </w:p>
        </w:tc>
      </w:tr>
      <w:tr w14:paraId="043D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2"/>
            <w:vAlign w:val="center"/>
          </w:tcPr>
          <w:p w14:paraId="521C404F">
            <w:pPr>
              <w:ind w:firstLine="420" w:firstLineChars="200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eastAsia="仿宋"/>
                <w:szCs w:val="21"/>
              </w:rPr>
              <w:t>注：</w:t>
            </w:r>
            <w:r>
              <w:rPr>
                <w:rFonts w:hint="eastAsia" w:eastAsia="仿宋"/>
                <w:szCs w:val="21"/>
                <w:lang w:val="en-US" w:eastAsia="zh-CN"/>
              </w:rPr>
              <w:t>1.</w:t>
            </w:r>
            <w:r>
              <w:rPr>
                <w:rFonts w:hint="eastAsia" w:eastAsia="仿宋"/>
                <w:szCs w:val="21"/>
              </w:rPr>
              <w:t>“FS”表示仪器的满量程，下同</w:t>
            </w:r>
            <w:r>
              <w:rPr>
                <w:rFonts w:hint="eastAsia" w:eastAsia="仿宋"/>
                <w:szCs w:val="21"/>
                <w:lang w:eastAsia="zh-CN"/>
              </w:rPr>
              <w:t>；</w:t>
            </w:r>
          </w:p>
          <w:p w14:paraId="11E1532F">
            <w:pPr>
              <w:ind w:firstLine="420" w:firstLineChars="200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  <w:lang w:val="en-US" w:eastAsia="zh-CN"/>
              </w:rPr>
              <w:t xml:space="preserve">    2.以上指标不适用于合格性判别，仅作参考。</w:t>
            </w:r>
          </w:p>
        </w:tc>
      </w:tr>
    </w:tbl>
    <w:p w14:paraId="3909227B">
      <w:pPr>
        <w:spacing w:before="120" w:beforeLines="50" w:after="120" w:afterLines="50"/>
        <w:rPr>
          <w:rFonts w:hint="default" w:eastAsia="黑体"/>
          <w:sz w:val="24"/>
          <w:lang w:val="en-US" w:eastAsia="zh-CN"/>
        </w:rPr>
      </w:pPr>
      <w:r>
        <w:rPr>
          <w:rFonts w:eastAsia="黑体"/>
          <w:sz w:val="24"/>
        </w:rPr>
        <w:t xml:space="preserve">5 </w:t>
      </w:r>
      <w:r>
        <w:rPr>
          <w:rFonts w:hint="eastAsia" w:eastAsia="黑体"/>
          <w:sz w:val="24"/>
        </w:rPr>
        <w:t xml:space="preserve"> </w:t>
      </w:r>
      <w:r>
        <w:rPr>
          <w:rFonts w:hint="eastAsia" w:eastAsia="黑体"/>
          <w:sz w:val="24"/>
          <w:lang w:val="en-US" w:eastAsia="zh-CN"/>
        </w:rPr>
        <w:t>校准条件</w:t>
      </w:r>
    </w:p>
    <w:p w14:paraId="5045B97F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.1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校准</w:t>
      </w:r>
      <w:r>
        <w:rPr>
          <w:rFonts w:hint="eastAsia"/>
          <w:sz w:val="24"/>
        </w:rPr>
        <w:t>环境条件</w:t>
      </w:r>
    </w:p>
    <w:p w14:paraId="69529764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.1.1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环境温度：（</w:t>
      </w:r>
      <w:r>
        <w:rPr>
          <w:rFonts w:hint="eastAsia"/>
          <w:sz w:val="24"/>
          <w:lang w:val="en-US" w:eastAsia="zh-CN"/>
        </w:rPr>
        <w:t>0</w:t>
      </w:r>
      <w:r>
        <w:rPr>
          <w:sz w:val="24"/>
        </w:rPr>
        <w:t>～</w:t>
      </w:r>
      <w:r>
        <w:rPr>
          <w:rFonts w:hint="eastAsia"/>
          <w:sz w:val="24"/>
        </w:rPr>
        <w:t>4</w:t>
      </w:r>
      <w:r>
        <w:rPr>
          <w:sz w:val="24"/>
        </w:rPr>
        <w:t>0）</w:t>
      </w:r>
      <w:r>
        <w:rPr>
          <w:rFonts w:hint="eastAsia" w:ascii="宋体" w:hAnsi="宋体" w:cs="宋体"/>
          <w:sz w:val="24"/>
        </w:rPr>
        <w:t>℃</w:t>
      </w:r>
      <w:r>
        <w:rPr>
          <w:sz w:val="24"/>
        </w:rPr>
        <w:t>。</w:t>
      </w:r>
    </w:p>
    <w:p w14:paraId="4DF707CE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.1</w:t>
      </w:r>
      <w:r>
        <w:rPr>
          <w:rFonts w:hint="eastAsia"/>
          <w:sz w:val="24"/>
        </w:rPr>
        <w:t>.2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环境湿度：</w:t>
      </w:r>
      <w:r>
        <w:rPr>
          <w:rFonts w:hint="eastAsia"/>
          <w:szCs w:val="21"/>
        </w:rPr>
        <w:t>≤</w:t>
      </w:r>
      <w:r>
        <w:rPr>
          <w:rFonts w:hint="eastAsia"/>
          <w:sz w:val="24"/>
          <w:lang w:val="en-US" w:eastAsia="zh-CN"/>
        </w:rPr>
        <w:t>85</w:t>
      </w:r>
      <w:r>
        <w:rPr>
          <w:sz w:val="24"/>
        </w:rPr>
        <w:t>%</w:t>
      </w:r>
      <w:r>
        <w:rPr>
          <w:rFonts w:hint="eastAsia"/>
          <w:sz w:val="24"/>
        </w:rPr>
        <w:t>RH</w:t>
      </w:r>
      <w:r>
        <w:rPr>
          <w:sz w:val="24"/>
        </w:rPr>
        <w:t>。</w:t>
      </w:r>
    </w:p>
    <w:p w14:paraId="4A28C396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.1.</w:t>
      </w:r>
      <w:r>
        <w:rPr>
          <w:rFonts w:hint="eastAsia"/>
          <w:sz w:val="24"/>
        </w:rPr>
        <w:t>3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通风良好，无影响仪器正常工作的干扰气体、电磁场等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校准现场应保持通风并采取安全措施</w:t>
      </w:r>
      <w:r>
        <w:rPr>
          <w:rFonts w:hint="eastAsia"/>
          <w:sz w:val="24"/>
        </w:rPr>
        <w:t>。</w:t>
      </w:r>
    </w:p>
    <w:p w14:paraId="5EDCDCD9"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.</w:t>
      </w:r>
      <w:r>
        <w:rPr>
          <w:rFonts w:hint="eastAsia"/>
          <w:sz w:val="24"/>
        </w:rPr>
        <w:t>2</w:t>
      </w:r>
      <w:r>
        <w:rPr>
          <w:sz w:val="24"/>
        </w:rPr>
        <w:t xml:space="preserve">  </w:t>
      </w:r>
      <w:r>
        <w:rPr>
          <w:rFonts w:hint="eastAsia"/>
          <w:sz w:val="24"/>
          <w:lang w:eastAsia="zh-CN"/>
        </w:rPr>
        <w:t>校准</w:t>
      </w:r>
      <w:r>
        <w:rPr>
          <w:rFonts w:hint="eastAsia"/>
          <w:sz w:val="24"/>
        </w:rPr>
        <w:t>用</w:t>
      </w:r>
      <w:r>
        <w:rPr>
          <w:rFonts w:hint="eastAsia"/>
          <w:sz w:val="24"/>
          <w:lang w:val="en-US" w:eastAsia="zh-CN"/>
        </w:rPr>
        <w:t>计量器具及配套设备</w:t>
      </w:r>
    </w:p>
    <w:p w14:paraId="7E8D2805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.2.1  气体标准物质</w:t>
      </w:r>
    </w:p>
    <w:p w14:paraId="51AC8B5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氮中</w:t>
      </w:r>
      <w:r>
        <w:rPr>
          <w:rFonts w:hint="eastAsia"/>
          <w:sz w:val="24"/>
          <w:lang w:val="en-US" w:eastAsia="zh-CN"/>
        </w:rPr>
        <w:t>硅烷</w:t>
      </w:r>
      <w:r>
        <w:rPr>
          <w:rFonts w:hint="eastAsia"/>
          <w:sz w:val="24"/>
          <w:lang w:eastAsia="zh-CN"/>
        </w:rPr>
        <w:t>气体标准物质（</w:t>
      </w:r>
      <w:r>
        <w:rPr>
          <w:rFonts w:hint="eastAsia"/>
          <w:sz w:val="24"/>
          <w:lang w:val="en-US" w:eastAsia="zh-CN"/>
        </w:rPr>
        <w:t>以下称标准气体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相对</w:t>
      </w:r>
      <w:r>
        <w:rPr>
          <w:rFonts w:hint="eastAsia"/>
          <w:sz w:val="24"/>
        </w:rPr>
        <w:t>扩展不确定度不大于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%（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=2）。</w:t>
      </w:r>
    </w:p>
    <w:p w14:paraId="313DEAF2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.2.2  零点气体</w:t>
      </w:r>
    </w:p>
    <w:p w14:paraId="7F421FA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高纯氮气（纯度≥99.999%）。</w:t>
      </w:r>
    </w:p>
    <w:p w14:paraId="3F64BFEC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.2.3  流量控制器</w:t>
      </w:r>
    </w:p>
    <w:p w14:paraId="2969366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流量控制器由两个气体流量计组成，如图1所示，流量范围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500</w:t>
      </w:r>
      <w:r>
        <w:rPr>
          <w:sz w:val="24"/>
        </w:rPr>
        <w:t>～</w:t>
      </w:r>
      <w:r>
        <w:rPr>
          <w:rFonts w:hint="eastAsia"/>
          <w:sz w:val="24"/>
          <w:lang w:val="en-US" w:eastAsia="zh-CN"/>
        </w:rPr>
        <w:t>200</w:t>
      </w:r>
      <w:r>
        <w:rPr>
          <w:sz w:val="24"/>
        </w:rPr>
        <w:t>0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mL/min，准确度等级不低于4</w:t>
      </w:r>
      <w:r>
        <w:rPr>
          <w:rFonts w:hint="eastAsia"/>
          <w:sz w:val="24"/>
          <w:lang w:val="en-US" w:eastAsia="zh-CN"/>
        </w:rPr>
        <w:t>.0</w:t>
      </w:r>
      <w:r>
        <w:rPr>
          <w:rFonts w:hint="eastAsia"/>
          <w:sz w:val="24"/>
        </w:rPr>
        <w:t>级。</w:t>
      </w:r>
    </w:p>
    <w:p w14:paraId="39D116B6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4876800" cy="2032000"/>
            <wp:effectExtent l="0" t="0" r="0" b="6350"/>
            <wp:docPr id="139997516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75168" name="图片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FE53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.2.4  电子秒表：MPE：±0.10 s/h。</w:t>
      </w:r>
    </w:p>
    <w:p w14:paraId="0C8F6CB6"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.2.5</w:t>
      </w:r>
      <w:r>
        <w:rPr>
          <w:rFonts w:hint="eastAsia"/>
          <w:sz w:val="24"/>
          <w:lang w:val="en-US" w:eastAsia="zh-CN"/>
        </w:rPr>
        <w:t xml:space="preserve">  减压阀和气体管路：与校准用气瓶配套的气体减压阀，聚四氟乙烯材质的气体管路。</w:t>
      </w:r>
    </w:p>
    <w:p w14:paraId="0D30AC04"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  校准项目和校准方法</w:t>
      </w:r>
    </w:p>
    <w:p w14:paraId="3F324934">
      <w:pPr>
        <w:spacing w:line="360" w:lineRule="auto"/>
        <w:rPr>
          <w:sz w:val="24"/>
        </w:rPr>
      </w:pPr>
      <w:r>
        <w:rPr>
          <w:rFonts w:hint="eastAsia"/>
          <w:sz w:val="24"/>
        </w:rPr>
        <w:t>6.1  示值误差</w:t>
      </w:r>
    </w:p>
    <w:p w14:paraId="4441A43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在正常工作条件下，仪器通电预热稳定后，先通入零点气体校准仪器的零点，再通入浓度约为满量程80%的气体标准物质校准仪器，然后分别</w:t>
      </w:r>
      <w:r>
        <w:rPr>
          <w:rFonts w:hint="eastAsia"/>
          <w:sz w:val="24"/>
        </w:rPr>
        <w:t>通入浓度约为满量程20%、50%和80%的</w:t>
      </w:r>
      <w:r>
        <w:rPr>
          <w:rFonts w:hint="eastAsia"/>
          <w:sz w:val="24"/>
          <w:lang w:val="en-US" w:eastAsia="zh-CN"/>
        </w:rPr>
        <w:t>标准气体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待示值稳定后，</w:t>
      </w:r>
      <w:r>
        <w:rPr>
          <w:rFonts w:hint="eastAsia"/>
          <w:sz w:val="24"/>
        </w:rPr>
        <w:t>记录仪器示值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每</w:t>
      </w:r>
      <w:r>
        <w:rPr>
          <w:rFonts w:hint="eastAsia"/>
          <w:sz w:val="24"/>
          <w:lang w:val="en-US" w:eastAsia="zh-CN"/>
        </w:rPr>
        <w:t>种浓度</w:t>
      </w:r>
      <w:r>
        <w:rPr>
          <w:rFonts w:hint="eastAsia"/>
          <w:sz w:val="24"/>
        </w:rPr>
        <w:t>重复测量3次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去算术平均值作为仪器示值</w:t>
      </w:r>
      <w:r>
        <w:rPr>
          <w:rFonts w:hint="eastAsia"/>
          <w:sz w:val="24"/>
        </w:rPr>
        <w:t>。按式（1）计算每点</w:t>
      </w:r>
      <w:r>
        <w:rPr>
          <w:position w:val="-6"/>
          <w:sz w:val="24"/>
        </w:rPr>
        <w:object>
          <v:shape id="_x0000_i1025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6">
            <o:LockedField>false</o:LockedField>
          </o:OLEObject>
        </w:object>
      </w:r>
      <w:r>
        <w:rPr>
          <w:rFonts w:hint="eastAsia"/>
          <w:sz w:val="24"/>
        </w:rPr>
        <w:t>，取绝对值最大的</w:t>
      </w:r>
      <w:r>
        <w:rPr>
          <w:position w:val="-6"/>
          <w:sz w:val="24"/>
        </w:rPr>
        <w:object>
          <v:shape id="_x0000_i1026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8">
            <o:LockedField>false</o:LockedField>
          </o:OLEObject>
        </w:object>
      </w:r>
      <w:r>
        <w:rPr>
          <w:rFonts w:hint="eastAsia"/>
          <w:sz w:val="24"/>
        </w:rPr>
        <w:t>作为仪器的示值误差。</w:t>
      </w:r>
    </w:p>
    <w:p w14:paraId="4EADDF8F">
      <w:pPr>
        <w:spacing w:line="360" w:lineRule="auto"/>
        <w:jc w:val="right"/>
        <w:rPr>
          <w:sz w:val="24"/>
        </w:rPr>
      </w:pPr>
      <w:r>
        <w:rPr>
          <w:position w:val="-24"/>
          <w:sz w:val="24"/>
        </w:rPr>
        <w:object>
          <v:shape id="_x0000_i1027" o:spt="75" type="#_x0000_t75" style="height:34.05pt;width:10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20">
            <o:LockedField>false</o:LockedField>
          </o:OLEObject>
        </w:object>
      </w:r>
      <w:r>
        <w:rPr>
          <w:sz w:val="24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 xml:space="preserve">              （1）</w:t>
      </w:r>
    </w:p>
    <w:p w14:paraId="5096B9FE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式中：</w:t>
      </w:r>
    </w:p>
    <w:p w14:paraId="1A8B148C">
      <w:pPr>
        <w:spacing w:line="360" w:lineRule="auto"/>
        <w:ind w:firstLine="480" w:firstLineChars="200"/>
        <w:rPr>
          <w:sz w:val="24"/>
        </w:rPr>
      </w:pPr>
      <w:r>
        <w:rPr>
          <w:position w:val="-6"/>
          <w:sz w:val="24"/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22">
            <o:LockedField>false</o:LockedField>
          </o:OLEObject>
        </w:object>
      </w:r>
      <w:r>
        <w:rPr>
          <w:sz w:val="24"/>
        </w:rPr>
        <w:t>——</w:t>
      </w:r>
      <w:r>
        <w:rPr>
          <w:rFonts w:hint="eastAsia"/>
          <w:sz w:val="24"/>
        </w:rPr>
        <w:t>仪器示值的算术平均值</w:t>
      </w:r>
      <w:r>
        <w:rPr>
          <w:sz w:val="24"/>
        </w:rPr>
        <w:t>；</w:t>
      </w:r>
    </w:p>
    <w:p w14:paraId="4DE905AD">
      <w:pPr>
        <w:spacing w:line="360" w:lineRule="auto"/>
        <w:ind w:firstLine="480" w:firstLineChars="200"/>
        <w:rPr>
          <w:sz w:val="24"/>
        </w:rPr>
      </w:pPr>
      <w:r>
        <w:rPr>
          <w:position w:val="-12"/>
          <w:sz w:val="24"/>
        </w:rPr>
        <w:object>
          <v:shape id="_x0000_i1029" o:spt="75" type="#_x0000_t75" style="height:18pt;width:16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24">
            <o:LockedField>false</o:LockedField>
          </o:OLEObject>
        </w:object>
      </w:r>
      <w:r>
        <w:rPr>
          <w:sz w:val="24"/>
        </w:rPr>
        <w:t>——</w:t>
      </w:r>
      <w:r>
        <w:rPr>
          <w:rFonts w:hint="eastAsia"/>
          <w:sz w:val="24"/>
        </w:rPr>
        <w:t>通入仪器的</w:t>
      </w:r>
      <w:r>
        <w:rPr>
          <w:rFonts w:hint="eastAsia"/>
          <w:sz w:val="24"/>
          <w:lang w:val="en-US" w:eastAsia="zh-CN"/>
        </w:rPr>
        <w:t>标准气体</w:t>
      </w:r>
      <w:r>
        <w:rPr>
          <w:rFonts w:hint="eastAsia"/>
          <w:sz w:val="24"/>
        </w:rPr>
        <w:t>的浓度值；</w:t>
      </w:r>
    </w:p>
    <w:p w14:paraId="4B8DB158">
      <w:pPr>
        <w:spacing w:line="360" w:lineRule="auto"/>
        <w:ind w:firstLine="480" w:firstLineChars="200"/>
        <w:rPr>
          <w:sz w:val="24"/>
        </w:rPr>
      </w:pPr>
      <w:r>
        <w:rPr>
          <w:position w:val="-4"/>
          <w:sz w:val="24"/>
        </w:rPr>
        <w:object>
          <v:shape id="_x0000_i1030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6">
            <o:LockedField>false</o:LockedField>
          </o:OLEObject>
        </w:object>
      </w:r>
      <w:r>
        <w:rPr>
          <w:sz w:val="24"/>
        </w:rPr>
        <w:t>——</w:t>
      </w:r>
      <w:r>
        <w:rPr>
          <w:rFonts w:hint="eastAsia"/>
          <w:sz w:val="24"/>
        </w:rPr>
        <w:t>仪器满量程。</w:t>
      </w:r>
    </w:p>
    <w:p w14:paraId="41ED14FF">
      <w:pPr>
        <w:spacing w:line="360" w:lineRule="auto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 xml:space="preserve">  重复性</w:t>
      </w:r>
    </w:p>
    <w:p w14:paraId="71DF4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通入浓度约为满量程50%的</w:t>
      </w:r>
      <w:r>
        <w:rPr>
          <w:rFonts w:hint="eastAsia"/>
          <w:sz w:val="24"/>
          <w:lang w:val="en-US" w:eastAsia="zh-CN"/>
        </w:rPr>
        <w:t>标准气体</w:t>
      </w:r>
      <w:r>
        <w:rPr>
          <w:rFonts w:hint="eastAsia"/>
          <w:sz w:val="24"/>
        </w:rPr>
        <w:t>，待</w:t>
      </w:r>
      <w:r>
        <w:rPr>
          <w:rFonts w:hint="eastAsia"/>
          <w:sz w:val="24"/>
          <w:lang w:val="en-US" w:eastAsia="zh-CN"/>
        </w:rPr>
        <w:t>示值</w:t>
      </w:r>
      <w:r>
        <w:rPr>
          <w:rFonts w:hint="eastAsia"/>
          <w:sz w:val="24"/>
        </w:rPr>
        <w:t>稳定后，记录仪器示值</w:t>
      </w:r>
      <w:r>
        <w:rPr>
          <w:position w:val="-10"/>
          <w:sz w:val="24"/>
        </w:rPr>
        <w:object>
          <v:shape id="_x0000_i1031" o:spt="75" type="#_x0000_t75" style="height:17pt;width:13.9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8">
            <o:LockedField>false</o:LockedField>
          </o:OLEObject>
        </w:objec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然后通入零点气体使仪器示值回零，</w:t>
      </w:r>
      <w:r>
        <w:rPr>
          <w:rFonts w:hint="eastAsia"/>
          <w:sz w:val="24"/>
        </w:rPr>
        <w:t>再通入上述浓度的</w:t>
      </w:r>
      <w:r>
        <w:rPr>
          <w:rFonts w:hint="eastAsia"/>
          <w:sz w:val="24"/>
          <w:lang w:val="en-US" w:eastAsia="zh-CN"/>
        </w:rPr>
        <w:t>标准气体</w:t>
      </w:r>
      <w:r>
        <w:rPr>
          <w:rFonts w:hint="eastAsia"/>
          <w:sz w:val="24"/>
        </w:rPr>
        <w:t>，重复上述测量6次。按式（2）计算仪器的重复性</w:t>
      </w:r>
      <w:r>
        <w:rPr>
          <w:position w:val="-10"/>
          <w:sz w:val="24"/>
        </w:rPr>
        <w:object>
          <v:shape id="_x0000_i1032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30">
            <o:LockedField>false</o:LockedField>
          </o:OLEObject>
        </w:object>
      </w:r>
      <w:r>
        <w:rPr>
          <w:rFonts w:hint="eastAsia"/>
          <w:sz w:val="24"/>
        </w:rPr>
        <w:t>。</w:t>
      </w:r>
    </w:p>
    <w:p w14:paraId="29FA6C41">
      <w:pPr>
        <w:spacing w:line="360" w:lineRule="auto"/>
        <w:ind w:firstLine="480"/>
        <w:jc w:val="right"/>
        <w:rPr>
          <w:sz w:val="24"/>
        </w:rPr>
      </w:pPr>
      <w:r>
        <w:rPr>
          <w:position w:val="-26"/>
          <w:sz w:val="24"/>
        </w:rPr>
        <w:object>
          <v:shape id="_x0000_i1033" o:spt="75" alt="" type="#_x0000_t75" style="height:52.05pt;width:139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32">
            <o:LockedField>false</o:LockedField>
          </o:OLEObject>
        </w:object>
      </w:r>
      <w:r>
        <w:rPr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 xml:space="preserve">           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</w:p>
    <w:p w14:paraId="0300E622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式中：</w:t>
      </w:r>
    </w:p>
    <w:p w14:paraId="156D5918">
      <w:pPr>
        <w:spacing w:line="360" w:lineRule="auto"/>
        <w:ind w:firstLine="480" w:firstLineChars="200"/>
        <w:rPr>
          <w:sz w:val="24"/>
        </w:rPr>
      </w:pPr>
      <w:r>
        <w:rPr>
          <w:position w:val="-10"/>
          <w:sz w:val="24"/>
        </w:rPr>
        <w:object>
          <v:shape id="_x0000_i1034" o:spt="75" type="#_x0000_t75" style="height:17.05pt;width:12.0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34">
            <o:LockedField>false</o:LockedField>
          </o:OLEObject>
        </w:object>
      </w:r>
      <w:r>
        <w:rPr>
          <w:sz w:val="24"/>
        </w:rPr>
        <w:t>——</w:t>
      </w:r>
      <w:r>
        <w:rPr>
          <w:rFonts w:hint="eastAsia"/>
          <w:sz w:val="24"/>
        </w:rPr>
        <w:t>单次测量的相对标准偏差；</w:t>
      </w:r>
    </w:p>
    <w:p w14:paraId="1C72A575">
      <w:pPr>
        <w:spacing w:line="360" w:lineRule="auto"/>
        <w:ind w:firstLine="480" w:firstLineChars="200"/>
        <w:rPr>
          <w:sz w:val="24"/>
        </w:rPr>
      </w:pPr>
      <w:r>
        <w:rPr>
          <w:position w:val="-10"/>
          <w:sz w:val="24"/>
        </w:rPr>
        <w:object>
          <v:shape id="_x0000_i1035" o:spt="75" type="#_x0000_t75" style="height:17.05pt;width:14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36">
            <o:LockedField>false</o:LockedField>
          </o:OLEObject>
        </w:object>
      </w:r>
      <w:r>
        <w:rPr>
          <w:sz w:val="24"/>
        </w:rPr>
        <w:t>——第</w:t>
      </w:r>
      <w:r>
        <w:rPr>
          <w:i/>
          <w:sz w:val="24"/>
        </w:rPr>
        <w:t>i</w:t>
      </w:r>
      <w:r>
        <w:rPr>
          <w:sz w:val="24"/>
        </w:rPr>
        <w:t>次</w:t>
      </w:r>
      <w:r>
        <w:rPr>
          <w:rFonts w:hint="eastAsia"/>
          <w:sz w:val="24"/>
        </w:rPr>
        <w:t>测量的仪器示值；</w:t>
      </w:r>
    </w:p>
    <w:p w14:paraId="2C696294"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position w:val="-6"/>
          <w:sz w:val="24"/>
        </w:rPr>
        <w:object>
          <v:shape id="_x0000_i1036" o:spt="75" type="#_x0000_t75" style="height:17.05pt;width:12.0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38">
            <o:LockedField>false</o:LockedField>
          </o:OLEObject>
        </w:object>
      </w:r>
      <w:r>
        <w:rPr>
          <w:sz w:val="24"/>
        </w:rPr>
        <w:t>——6次测量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的算术平均值</w:t>
      </w:r>
      <w:r>
        <w:rPr>
          <w:rFonts w:hint="eastAsia"/>
          <w:sz w:val="24"/>
          <w:lang w:eastAsia="zh-CN"/>
        </w:rPr>
        <w:t>。</w:t>
      </w:r>
    </w:p>
    <w:p w14:paraId="6333F3E0">
      <w:pPr>
        <w:spacing w:line="360" w:lineRule="auto"/>
        <w:rPr>
          <w:sz w:val="24"/>
        </w:rPr>
      </w:pPr>
      <w:r>
        <w:rPr>
          <w:rFonts w:hint="eastAsia"/>
          <w:sz w:val="24"/>
        </w:rPr>
        <w:t>6.3  响应时间</w:t>
      </w:r>
    </w:p>
    <w:p w14:paraId="62A2ADB5">
      <w:pPr>
        <w:spacing w:line="360" w:lineRule="auto"/>
        <w:ind w:firstLine="480" w:firstLineChars="200"/>
        <w:rPr>
          <w:sz w:val="24"/>
          <w:highlight w:val="yellow"/>
        </w:rPr>
      </w:pPr>
      <w:r>
        <w:rPr>
          <w:rFonts w:hint="eastAsia"/>
          <w:sz w:val="24"/>
          <w:lang w:val="en-US" w:eastAsia="zh-CN"/>
        </w:rPr>
        <w:t>先通入零点气体使仪器示值回到零点后，再</w:t>
      </w:r>
      <w:r>
        <w:rPr>
          <w:rFonts w:hint="eastAsia"/>
          <w:sz w:val="24"/>
        </w:rPr>
        <w:t>通入浓度约为</w:t>
      </w:r>
      <w:r>
        <w:rPr>
          <w:rFonts w:hint="eastAsia"/>
          <w:sz w:val="24"/>
          <w:lang w:val="en-US" w:eastAsia="zh-CN"/>
        </w:rPr>
        <w:t>满量程</w:t>
      </w:r>
      <w:r>
        <w:rPr>
          <w:rFonts w:hint="eastAsia"/>
          <w:sz w:val="24"/>
        </w:rPr>
        <w:t>50%的</w:t>
      </w:r>
      <w:r>
        <w:rPr>
          <w:rFonts w:hint="eastAsia"/>
          <w:sz w:val="24"/>
          <w:lang w:val="en-US" w:eastAsia="zh-CN"/>
        </w:rPr>
        <w:t>气体标准物质</w:t>
      </w:r>
      <w:r>
        <w:rPr>
          <w:rFonts w:hint="eastAsia"/>
          <w:sz w:val="24"/>
        </w:rPr>
        <w:t>，待</w:t>
      </w:r>
      <w:r>
        <w:rPr>
          <w:rFonts w:hint="eastAsia"/>
          <w:sz w:val="24"/>
          <w:lang w:val="en-US" w:eastAsia="zh-CN"/>
        </w:rPr>
        <w:t>示值</w:t>
      </w:r>
      <w:r>
        <w:rPr>
          <w:rFonts w:hint="eastAsia"/>
          <w:sz w:val="24"/>
        </w:rPr>
        <w:t>稳定后，记录仪器示值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撤去气体标准物质，待仪器回零后，</w:t>
      </w:r>
      <w:r>
        <w:rPr>
          <w:rFonts w:hint="eastAsia"/>
          <w:sz w:val="24"/>
        </w:rPr>
        <w:t>再通入上述浓度的</w:t>
      </w:r>
      <w:r>
        <w:rPr>
          <w:rFonts w:hint="eastAsia"/>
          <w:sz w:val="24"/>
          <w:lang w:val="en-US" w:eastAsia="zh-CN"/>
        </w:rPr>
        <w:t>标准气体</w:t>
      </w:r>
      <w:r>
        <w:rPr>
          <w:rFonts w:hint="eastAsia"/>
          <w:sz w:val="24"/>
        </w:rPr>
        <w:t>，同时启动秒表开始计时，当仪器的示值达到第1次稳定值的90%时</w:t>
      </w:r>
      <w:r>
        <w:rPr>
          <w:rFonts w:hint="eastAsia"/>
          <w:sz w:val="24"/>
          <w:lang w:val="en-US" w:eastAsia="zh-CN"/>
        </w:rPr>
        <w:t>停止计时</w:t>
      </w:r>
      <w:r>
        <w:rPr>
          <w:rFonts w:hint="eastAsia"/>
          <w:sz w:val="24"/>
        </w:rPr>
        <w:t>，记录显示时间。按上述方法重复测量3次，取3次测量的算术平均值作为仪器的响应时间。</w:t>
      </w:r>
    </w:p>
    <w:p w14:paraId="68376D86"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报警功能及报警值</w:t>
      </w:r>
    </w:p>
    <w:p w14:paraId="3BFC5472"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通入高于报警设定值的气体标准物质，使仪器出现报警动作，观察仪器声光报警功能是否正常，记录仪器显示的报警浓度值。重复测量3次，取3次报警浓度值的算术平均值作为仪器的报警动作值。</w:t>
      </w:r>
    </w:p>
    <w:p w14:paraId="6B0DF49B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6.5  </w:t>
      </w:r>
      <w:r>
        <w:rPr>
          <w:rFonts w:hint="eastAsia"/>
          <w:sz w:val="24"/>
        </w:rPr>
        <w:t>漂移</w:t>
      </w:r>
    </w:p>
    <w:p w14:paraId="028738B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仪器的漂移包括零点漂移和量程漂移。</w:t>
      </w:r>
    </w:p>
    <w:p w14:paraId="0ABA1910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通入零点气，记录仪器稳定示值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  <w:vertAlign w:val="subscript"/>
        </w:rPr>
        <w:t>z0</w:t>
      </w:r>
      <w:r>
        <w:rPr>
          <w:rFonts w:hint="eastAsia"/>
          <w:sz w:val="24"/>
        </w:rPr>
        <w:t>，然后通入浓度约为满量程50%的</w:t>
      </w:r>
      <w:r>
        <w:rPr>
          <w:rFonts w:hint="eastAsia"/>
          <w:sz w:val="24"/>
          <w:lang w:val="en-US" w:eastAsia="zh-CN"/>
        </w:rPr>
        <w:t>标准气体</w:t>
      </w:r>
      <w:r>
        <w:rPr>
          <w:rFonts w:hint="eastAsia"/>
          <w:sz w:val="24"/>
        </w:rPr>
        <w:t>，记录稳定示值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  <w:vertAlign w:val="subscript"/>
        </w:rPr>
        <w:t>s0</w:t>
      </w:r>
      <w:r>
        <w:rPr>
          <w:rFonts w:hint="eastAsia"/>
          <w:sz w:val="24"/>
        </w:rPr>
        <w:t>，撤去</w:t>
      </w:r>
      <w:r>
        <w:rPr>
          <w:rFonts w:hint="eastAsia"/>
          <w:sz w:val="24"/>
          <w:lang w:val="en-US" w:eastAsia="zh-CN"/>
        </w:rPr>
        <w:t>标准气体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val="en-US" w:eastAsia="zh-CN"/>
        </w:rPr>
        <w:t>对便携式</w:t>
      </w:r>
      <w:r>
        <w:rPr>
          <w:rFonts w:hint="eastAsia"/>
          <w:sz w:val="24"/>
        </w:rPr>
        <w:t>仪器</w:t>
      </w:r>
      <w:r>
        <w:rPr>
          <w:rFonts w:hint="eastAsia"/>
          <w:sz w:val="24"/>
          <w:lang w:val="en-US" w:eastAsia="zh-CN"/>
        </w:rPr>
        <w:t>连续</w:t>
      </w:r>
      <w:r>
        <w:rPr>
          <w:rFonts w:hint="eastAsia"/>
          <w:sz w:val="24"/>
        </w:rPr>
        <w:t>运行1 h，每间隔15 min</w:t>
      </w:r>
      <w:r>
        <w:rPr>
          <w:rFonts w:hint="eastAsia"/>
          <w:sz w:val="24"/>
          <w:lang w:val="en-US" w:eastAsia="zh-CN"/>
        </w:rPr>
        <w:t>记录仪器的零点值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  <w:vertAlign w:val="subscript"/>
        </w:rPr>
        <w:t>z</w:t>
      </w:r>
      <w:r>
        <w:rPr>
          <w:rFonts w:hint="eastAsia"/>
          <w:i/>
          <w:iCs/>
          <w:sz w:val="24"/>
          <w:vertAlign w:val="subscript"/>
          <w:lang w:val="en-US" w:eastAsia="zh-CN"/>
        </w:rPr>
        <w:t>i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通入上述同一气体标准物质记录仪器稳定示值为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  <w:vertAlign w:val="subscript"/>
        </w:rPr>
        <w:t>s</w:t>
      </w:r>
      <w:r>
        <w:rPr>
          <w:rFonts w:hint="eastAsia"/>
          <w:i/>
          <w:iCs/>
          <w:sz w:val="24"/>
          <w:vertAlign w:val="subscript"/>
          <w:lang w:val="en-US" w:eastAsia="zh-CN"/>
        </w:rPr>
        <w:t>i</w:t>
      </w:r>
      <w:r>
        <w:rPr>
          <w:rFonts w:hint="eastAsia"/>
          <w:i w:val="0"/>
          <w:iCs w:val="0"/>
          <w:sz w:val="24"/>
          <w:vertAlign w:val="baseline"/>
          <w:lang w:val="en-US" w:eastAsia="zh-CN"/>
        </w:rPr>
        <w:t>；</w:t>
      </w:r>
      <w:r>
        <w:rPr>
          <w:rFonts w:hint="eastAsia"/>
          <w:sz w:val="24"/>
          <w:lang w:val="en-US" w:eastAsia="zh-CN"/>
        </w:rPr>
        <w:t>对固定式</w:t>
      </w:r>
      <w:r>
        <w:rPr>
          <w:rFonts w:hint="eastAsia"/>
          <w:sz w:val="24"/>
        </w:rPr>
        <w:t>仪器</w:t>
      </w:r>
      <w:r>
        <w:rPr>
          <w:rFonts w:hint="eastAsia"/>
          <w:sz w:val="24"/>
          <w:lang w:val="en-US" w:eastAsia="zh-CN"/>
        </w:rPr>
        <w:t>连续</w:t>
      </w:r>
      <w:r>
        <w:rPr>
          <w:rFonts w:hint="eastAsia"/>
          <w:sz w:val="24"/>
        </w:rPr>
        <w:t>运行</w:t>
      </w:r>
      <w:r>
        <w:rPr>
          <w:rFonts w:hint="eastAsia"/>
          <w:sz w:val="24"/>
          <w:lang w:val="en-US" w:eastAsia="zh-CN"/>
        </w:rPr>
        <w:t xml:space="preserve">4 </w:t>
      </w:r>
      <w:r>
        <w:rPr>
          <w:rFonts w:hint="eastAsia"/>
          <w:sz w:val="24"/>
        </w:rPr>
        <w:t>h，</w:t>
      </w:r>
      <w:r>
        <w:rPr>
          <w:rFonts w:hint="eastAsia"/>
          <w:sz w:val="24"/>
          <w:lang w:val="en-US" w:eastAsia="zh-CN"/>
        </w:rPr>
        <w:t>按上述同样的方法，</w:t>
      </w:r>
      <w:r>
        <w:rPr>
          <w:rFonts w:hint="eastAsia"/>
          <w:sz w:val="24"/>
        </w:rPr>
        <w:t>每间隔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h重复上述步骤一次，</w:t>
      </w:r>
      <w:r>
        <w:rPr>
          <w:rFonts w:hint="eastAsia"/>
          <w:sz w:val="24"/>
          <w:lang w:val="en-US" w:eastAsia="zh-CN"/>
        </w:rPr>
        <w:t>按</w:t>
      </w:r>
      <w:r>
        <w:rPr>
          <w:rFonts w:hint="eastAsia"/>
          <w:sz w:val="24"/>
        </w:rPr>
        <w:t>式（3）计算零点漂移</w:t>
      </w:r>
      <w:r>
        <w:rPr>
          <w:position w:val="-4"/>
        </w:rPr>
        <w:object>
          <v:shape id="_x0000_i1037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40">
            <o:LockedField>false</o:LockedField>
          </o:OLEObject>
        </w:object>
      </w:r>
      <w:r>
        <w:rPr>
          <w:rFonts w:hint="eastAsia"/>
          <w:sz w:val="24"/>
          <w:vertAlign w:val="subscript"/>
        </w:rPr>
        <w:t>z</w:t>
      </w:r>
      <w:r>
        <w:rPr>
          <w:rFonts w:hint="eastAsia"/>
          <w:sz w:val="24"/>
        </w:rPr>
        <w:t>，取绝对值最大的</w:t>
      </w:r>
      <w:r>
        <w:rPr>
          <w:position w:val="-4"/>
        </w:rPr>
        <w:object>
          <v:shape id="_x0000_i1038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42">
            <o:LockedField>false</o:LockedField>
          </o:OLEObject>
        </w:object>
      </w:r>
      <w:r>
        <w:rPr>
          <w:rFonts w:hint="eastAsia"/>
          <w:sz w:val="24"/>
          <w:vertAlign w:val="subscript"/>
        </w:rPr>
        <w:t>zi</w:t>
      </w:r>
      <w:r>
        <w:rPr>
          <w:rFonts w:hint="eastAsia"/>
          <w:sz w:val="24"/>
        </w:rPr>
        <w:t>作为仪器的零点漂移。</w:t>
      </w:r>
    </w:p>
    <w:p w14:paraId="3B94BE88">
      <w:pPr>
        <w:wordWrap w:val="0"/>
        <w:spacing w:line="360" w:lineRule="auto"/>
        <w:jc w:val="right"/>
        <w:rPr>
          <w:rFonts w:hint="eastAsia"/>
          <w:sz w:val="24"/>
        </w:rPr>
      </w:pPr>
      <w:r>
        <w:rPr>
          <w:position w:val="-24"/>
          <w:sz w:val="24"/>
        </w:rPr>
        <w:object>
          <v:shape id="_x0000_i1039" o:spt="75" type="#_x0000_t75" style="height:31.95pt;width:114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44">
            <o:LockedField>false</o:LockedField>
          </o:OLEObject>
        </w:object>
      </w:r>
      <w:r>
        <w:rPr>
          <w:rFonts w:hint="eastAsia"/>
          <w:sz w:val="24"/>
        </w:rPr>
        <w:t xml:space="preserve">                      （3）</w:t>
      </w:r>
    </w:p>
    <w:p w14:paraId="4EC25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/>
          <w:sz w:val="24"/>
          <w:vertAlign w:val="baseline"/>
          <w:lang w:val="en-US" w:eastAsia="zh-CN"/>
        </w:rPr>
      </w:pPr>
      <w:r>
        <w:rPr>
          <w:rFonts w:hint="eastAsia"/>
          <w:sz w:val="24"/>
          <w:lang w:val="en-US" w:eastAsia="zh-CN"/>
        </w:rPr>
        <w:t>式中，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  <w:vertAlign w:val="subscript"/>
        </w:rPr>
        <w:t>z0</w:t>
      </w:r>
      <w:r>
        <w:rPr>
          <w:rFonts w:hint="eastAsia"/>
          <w:sz w:val="24"/>
          <w:vertAlign w:val="subscript"/>
          <w:lang w:val="en-US" w:eastAsia="zh-CN"/>
        </w:rPr>
        <w:t>-----</w:t>
      </w:r>
      <w:r>
        <w:rPr>
          <w:rFonts w:hint="eastAsia"/>
          <w:sz w:val="24"/>
          <w:vertAlign w:val="baseline"/>
          <w:lang w:val="en-US" w:eastAsia="zh-CN"/>
        </w:rPr>
        <w:t>通入零点气时仪器初始示值；</w:t>
      </w:r>
    </w:p>
    <w:p w14:paraId="0925D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/>
          <w:sz w:val="24"/>
          <w:vertAlign w:val="baseline"/>
          <w:lang w:val="en-US" w:eastAsia="zh-CN"/>
        </w:rPr>
      </w:pPr>
      <w:r>
        <w:rPr>
          <w:rFonts w:hint="eastAsia"/>
          <w:sz w:val="24"/>
          <w:vertAlign w:val="baseline"/>
          <w:lang w:val="en-US" w:eastAsia="zh-CN"/>
        </w:rPr>
        <w:t xml:space="preserve">      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  <w:vertAlign w:val="subscript"/>
        </w:rPr>
        <w:t>zi</w:t>
      </w:r>
      <w:r>
        <w:rPr>
          <w:rFonts w:hint="eastAsia"/>
          <w:sz w:val="24"/>
          <w:vertAlign w:val="subscript"/>
          <w:lang w:val="en-US" w:eastAsia="zh-CN"/>
        </w:rPr>
        <w:t xml:space="preserve">----- </w:t>
      </w:r>
      <w:r>
        <w:rPr>
          <w:rFonts w:hint="eastAsia"/>
          <w:sz w:val="24"/>
          <w:vertAlign w:val="baseline"/>
          <w:lang w:val="en-US" w:eastAsia="zh-CN"/>
        </w:rPr>
        <w:t xml:space="preserve">第 </w:t>
      </w:r>
      <w:r>
        <w:rPr>
          <w:rFonts w:hint="eastAsia"/>
          <w:i/>
          <w:iCs/>
          <w:sz w:val="24"/>
          <w:vertAlign w:val="baseline"/>
          <w:lang w:val="en-US" w:eastAsia="zh-CN"/>
        </w:rPr>
        <w:t>i</w:t>
      </w:r>
      <w:r>
        <w:rPr>
          <w:rFonts w:hint="eastAsia"/>
          <w:sz w:val="24"/>
          <w:vertAlign w:val="baseline"/>
          <w:lang w:val="en-US" w:eastAsia="zh-CN"/>
        </w:rPr>
        <w:t>（</w:t>
      </w:r>
      <w:r>
        <w:rPr>
          <w:rFonts w:hint="eastAsia"/>
          <w:i/>
          <w:iCs/>
          <w:sz w:val="24"/>
          <w:vertAlign w:val="baseline"/>
          <w:lang w:val="en-US" w:eastAsia="zh-CN"/>
        </w:rPr>
        <w:t>i</w:t>
      </w:r>
      <w:r>
        <w:rPr>
          <w:rFonts w:hint="eastAsia"/>
          <w:sz w:val="24"/>
          <w:vertAlign w:val="baseline"/>
          <w:lang w:val="en-US" w:eastAsia="zh-CN"/>
        </w:rPr>
        <w:t>=1，2，3，4）次通入零点气时仪器示值；</w:t>
      </w:r>
    </w:p>
    <w:p w14:paraId="7AAF7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vertAlign w:val="baseline"/>
          <w:lang w:val="en-US" w:eastAsia="zh-CN"/>
        </w:rPr>
      </w:pPr>
      <w:r>
        <w:rPr>
          <w:rFonts w:hint="eastAsia"/>
          <w:sz w:val="24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——</w:t>
      </w:r>
      <w:r>
        <w:rPr>
          <w:rFonts w:hint="eastAsia"/>
          <w:sz w:val="24"/>
        </w:rPr>
        <w:t>仪器满量程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7E099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按式（4）计算</w:t>
      </w:r>
      <w:r>
        <w:rPr>
          <w:rFonts w:hint="eastAsia"/>
          <w:sz w:val="24"/>
          <w:lang w:val="en-US" w:eastAsia="zh-CN"/>
        </w:rPr>
        <w:t>量程</w:t>
      </w:r>
      <w:r>
        <w:rPr>
          <w:rFonts w:hint="eastAsia"/>
          <w:sz w:val="24"/>
        </w:rPr>
        <w:t>漂移</w:t>
      </w:r>
      <w:r>
        <w:rPr>
          <w:rFonts w:hint="eastAsia"/>
          <w:i/>
          <w:sz w:val="24"/>
        </w:rPr>
        <w:t>Δ</w:t>
      </w:r>
      <w:r>
        <w:rPr>
          <w:rFonts w:hint="eastAsia"/>
          <w:sz w:val="24"/>
          <w:vertAlign w:val="subscript"/>
        </w:rPr>
        <w:t>s</w:t>
      </w:r>
      <w:r>
        <w:rPr>
          <w:rFonts w:hint="eastAsia"/>
          <w:sz w:val="24"/>
        </w:rPr>
        <w:t>，取绝对值最大的</w:t>
      </w:r>
      <w:r>
        <w:rPr>
          <w:rFonts w:hint="eastAsia"/>
          <w:i/>
          <w:sz w:val="24"/>
        </w:rPr>
        <w:t>Δ</w:t>
      </w:r>
      <w:r>
        <w:rPr>
          <w:rFonts w:hint="eastAsia"/>
          <w:sz w:val="24"/>
          <w:vertAlign w:val="subscript"/>
        </w:rPr>
        <w:t>si</w:t>
      </w:r>
      <w:r>
        <w:rPr>
          <w:rFonts w:hint="eastAsia"/>
          <w:sz w:val="24"/>
        </w:rPr>
        <w:t>作为仪器的</w:t>
      </w:r>
      <w:r>
        <w:rPr>
          <w:rFonts w:hint="eastAsia"/>
          <w:sz w:val="24"/>
          <w:lang w:val="en-US" w:eastAsia="zh-CN"/>
        </w:rPr>
        <w:t>量程</w:t>
      </w:r>
      <w:r>
        <w:rPr>
          <w:rFonts w:hint="eastAsia"/>
          <w:sz w:val="24"/>
        </w:rPr>
        <w:t>漂移。</w:t>
      </w:r>
    </w:p>
    <w:p w14:paraId="52AACE00">
      <w:pPr>
        <w:wordWrap w:val="0"/>
        <w:spacing w:line="360" w:lineRule="auto"/>
        <w:jc w:val="right"/>
        <w:rPr>
          <w:rFonts w:hint="eastAsia"/>
          <w:sz w:val="24"/>
        </w:rPr>
      </w:pPr>
      <w:r>
        <w:rPr>
          <w:position w:val="-24"/>
          <w:sz w:val="24"/>
        </w:rPr>
        <w:object>
          <v:shape id="_x0000_i1040" o:spt="75" type="#_x0000_t75" style="height:31.95pt;width:181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46">
            <o:LockedField>false</o:LockedField>
          </o:OLEObject>
        </w:object>
      </w:r>
      <w:r>
        <w:rPr>
          <w:rFonts w:hint="eastAsia"/>
          <w:sz w:val="24"/>
        </w:rPr>
        <w:t xml:space="preserve">               （4）</w:t>
      </w:r>
    </w:p>
    <w:p w14:paraId="727E4C3C">
      <w:pPr>
        <w:wordWrap/>
        <w:spacing w:line="360" w:lineRule="auto"/>
        <w:ind w:firstLine="480"/>
        <w:jc w:val="both"/>
        <w:rPr>
          <w:rFonts w:hint="eastAsia"/>
          <w:sz w:val="24"/>
          <w:vertAlign w:val="baseline"/>
          <w:lang w:val="en-US" w:eastAsia="zh-CN"/>
        </w:rPr>
      </w:pPr>
      <w:r>
        <w:rPr>
          <w:rFonts w:hint="eastAsia"/>
          <w:sz w:val="24"/>
          <w:lang w:val="en-US" w:eastAsia="zh-CN"/>
        </w:rPr>
        <w:t>式中，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  <w:vertAlign w:val="subscript"/>
        </w:rPr>
        <w:t>s0</w:t>
      </w:r>
      <w:r>
        <w:rPr>
          <w:rFonts w:hint="eastAsia"/>
          <w:sz w:val="24"/>
          <w:vertAlign w:val="subscript"/>
          <w:lang w:val="en-US" w:eastAsia="zh-CN"/>
        </w:rPr>
        <w:t>-----</w:t>
      </w:r>
      <w:r>
        <w:rPr>
          <w:rFonts w:hint="eastAsia"/>
          <w:sz w:val="24"/>
          <w:vertAlign w:val="baseline"/>
          <w:lang w:val="en-US" w:eastAsia="zh-CN"/>
        </w:rPr>
        <w:t>通入</w:t>
      </w:r>
      <w:r>
        <w:rPr>
          <w:rFonts w:hint="eastAsia"/>
          <w:sz w:val="24"/>
          <w:lang w:val="en-US" w:eastAsia="zh-CN"/>
        </w:rPr>
        <w:t>标准气体</w:t>
      </w:r>
      <w:r>
        <w:rPr>
          <w:rFonts w:hint="eastAsia"/>
          <w:sz w:val="24"/>
          <w:vertAlign w:val="baseline"/>
          <w:lang w:val="en-US" w:eastAsia="zh-CN"/>
        </w:rPr>
        <w:t>时仪器初始示值；</w:t>
      </w:r>
    </w:p>
    <w:p w14:paraId="594BF9E6">
      <w:pPr>
        <w:wordWrap/>
        <w:spacing w:line="360" w:lineRule="auto"/>
        <w:ind w:firstLine="480"/>
        <w:jc w:val="both"/>
        <w:rPr>
          <w:rFonts w:hint="eastAsia"/>
          <w:sz w:val="24"/>
          <w:vertAlign w:val="baseline"/>
          <w:lang w:val="en-US" w:eastAsia="zh-CN"/>
        </w:rPr>
      </w:pPr>
      <w:r>
        <w:rPr>
          <w:rFonts w:hint="eastAsia"/>
          <w:sz w:val="24"/>
          <w:vertAlign w:val="baseline"/>
          <w:lang w:val="en-US" w:eastAsia="zh-CN"/>
        </w:rPr>
        <w:t xml:space="preserve">      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  <w:vertAlign w:val="subscript"/>
        </w:rPr>
        <w:t>si</w:t>
      </w:r>
      <w:r>
        <w:rPr>
          <w:rFonts w:hint="eastAsia"/>
          <w:sz w:val="24"/>
          <w:vertAlign w:val="subscript"/>
          <w:lang w:val="en-US" w:eastAsia="zh-CN"/>
        </w:rPr>
        <w:t xml:space="preserve">----- </w:t>
      </w:r>
      <w:r>
        <w:rPr>
          <w:rFonts w:hint="eastAsia"/>
          <w:sz w:val="24"/>
          <w:vertAlign w:val="baseline"/>
          <w:lang w:val="en-US" w:eastAsia="zh-CN"/>
        </w:rPr>
        <w:t xml:space="preserve">第 </w:t>
      </w:r>
      <w:r>
        <w:rPr>
          <w:rFonts w:hint="eastAsia"/>
          <w:i/>
          <w:iCs/>
          <w:sz w:val="24"/>
          <w:vertAlign w:val="baseline"/>
          <w:lang w:val="en-US" w:eastAsia="zh-CN"/>
        </w:rPr>
        <w:t>i</w:t>
      </w:r>
      <w:r>
        <w:rPr>
          <w:rFonts w:hint="eastAsia"/>
          <w:sz w:val="24"/>
          <w:vertAlign w:val="baseline"/>
          <w:lang w:val="en-US" w:eastAsia="zh-CN"/>
        </w:rPr>
        <w:t>（</w:t>
      </w:r>
      <w:r>
        <w:rPr>
          <w:rFonts w:hint="eastAsia"/>
          <w:i/>
          <w:iCs/>
          <w:sz w:val="24"/>
          <w:vertAlign w:val="baseline"/>
          <w:lang w:val="en-US" w:eastAsia="zh-CN"/>
        </w:rPr>
        <w:t>i</w:t>
      </w:r>
      <w:r>
        <w:rPr>
          <w:rFonts w:hint="eastAsia"/>
          <w:sz w:val="24"/>
          <w:vertAlign w:val="baseline"/>
          <w:lang w:val="en-US" w:eastAsia="zh-CN"/>
        </w:rPr>
        <w:t>=1，2，3，4）次通入</w:t>
      </w:r>
      <w:r>
        <w:rPr>
          <w:rFonts w:hint="eastAsia"/>
          <w:sz w:val="24"/>
          <w:lang w:val="en-US" w:eastAsia="zh-CN"/>
        </w:rPr>
        <w:t>标准气体</w:t>
      </w:r>
      <w:r>
        <w:rPr>
          <w:rFonts w:hint="eastAsia"/>
          <w:sz w:val="24"/>
          <w:vertAlign w:val="baseline"/>
          <w:lang w:val="en-US" w:eastAsia="zh-CN"/>
        </w:rPr>
        <w:t>时仪器示值；</w:t>
      </w:r>
    </w:p>
    <w:p w14:paraId="205FFD9D">
      <w:pPr>
        <w:widowControl/>
        <w:wordWrap/>
        <w:spacing w:line="240" w:lineRule="auto"/>
        <w:ind w:firstLine="480" w:firstLineChars="200"/>
        <w:jc w:val="left"/>
        <w:rPr>
          <w:rFonts w:hint="default"/>
          <w:sz w:val="24"/>
          <w:vertAlign w:val="baseline"/>
          <w:lang w:val="en-US" w:eastAsia="zh-CN"/>
        </w:rPr>
      </w:pPr>
      <w:r>
        <w:rPr>
          <w:rFonts w:hint="eastAsia"/>
          <w:sz w:val="24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R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——</w:t>
      </w:r>
      <w:r>
        <w:rPr>
          <w:rFonts w:hint="eastAsia"/>
          <w:sz w:val="24"/>
        </w:rPr>
        <w:t>仪器满量程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16286DE5">
      <w:pPr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CN"/>
        </w:rPr>
        <w:t>校准结果表达</w:t>
      </w:r>
    </w:p>
    <w:p w14:paraId="065E516E">
      <w:pPr>
        <w:spacing w:line="360" w:lineRule="auto"/>
        <w:ind w:firstLine="48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校准结果应反映在校准证书或校准报告上，校准证书或报告至少包括以下信息:</w:t>
      </w:r>
    </w:p>
    <w:p w14:paraId="311EDB61">
      <w:pPr>
        <w:numPr>
          <w:ilvl w:val="0"/>
          <w:numId w:val="1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标题，如“校准证书”或“校准报告”；</w:t>
      </w:r>
    </w:p>
    <w:p w14:paraId="5B93B2DF">
      <w:pPr>
        <w:numPr>
          <w:ilvl w:val="0"/>
          <w:numId w:val="1"/>
        </w:numPr>
        <w:spacing w:line="360" w:lineRule="auto"/>
        <w:ind w:left="0" w:leftChars="0" w:firstLine="480" w:firstLineChars="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实验室名称和地址；</w:t>
      </w:r>
    </w:p>
    <w:p w14:paraId="6EFD6CEB">
      <w:pPr>
        <w:numPr>
          <w:ilvl w:val="0"/>
          <w:numId w:val="1"/>
        </w:numPr>
        <w:spacing w:line="360" w:lineRule="auto"/>
        <w:ind w:left="0" w:leftChars="0" w:firstLine="480" w:firstLineChars="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进行校准的地点(如果不在实验室内进行校准)；</w:t>
      </w:r>
    </w:p>
    <w:p w14:paraId="56226E20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d)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证书或报告的唯一性标识(如编号)，每页及总页数的标识；</w:t>
      </w:r>
    </w:p>
    <w:p w14:paraId="37F3ECD8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e)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送校单位的名称和地址；</w:t>
      </w:r>
    </w:p>
    <w:p w14:paraId="4ACE0B86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f)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被校对象的描述和明确标识；</w:t>
      </w:r>
    </w:p>
    <w:p w14:paraId="2C82F198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g)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进行校准的日期，如果与校准结果的有效性和应用有关时，应说明被校对象的接受日期；</w:t>
      </w:r>
    </w:p>
    <w:p w14:paraId="15788425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h)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如果与校准结果的有效性和应用有关时，应对抽样程序进行说明。校准环境的描述；</w:t>
      </w:r>
    </w:p>
    <w:p w14:paraId="3D4CAB10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i)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对校准所依据的技术规范的标识，包括名称及代码；</w:t>
      </w:r>
    </w:p>
    <w:p w14:paraId="2B833048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j)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本次校准所用测量标准的溯源性及有效性说明；</w:t>
      </w:r>
    </w:p>
    <w:p w14:paraId="38EA8030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k)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校准环境的描述；</w:t>
      </w:r>
    </w:p>
    <w:p w14:paraId="468EDF53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l)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校准结果及测是不确定度的说明；</w:t>
      </w:r>
    </w:p>
    <w:p w14:paraId="1B4422F7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m)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校准证书或校准报告签发人的签名、职务或等效标识以及签发目期；</w:t>
      </w:r>
    </w:p>
    <w:p w14:paraId="32F8C69A">
      <w:pPr>
        <w:numPr>
          <w:numId w:val="0"/>
        </w:num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n)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校准结果仅对被校对象有效的声明；</w:t>
      </w:r>
    </w:p>
    <w:p w14:paraId="68EA8889">
      <w:pPr>
        <w:numPr>
          <w:ilvl w:val="0"/>
          <w:numId w:val="0"/>
        </w:numPr>
        <w:spacing w:line="360" w:lineRule="auto"/>
        <w:ind w:firstLine="480" w:firstLineChars="0"/>
        <w:rPr>
          <w:rFonts w:hint="eastAsia"/>
          <w:sz w:val="24"/>
          <w:lang w:eastAsia="zh-CN"/>
        </w:rPr>
      </w:pPr>
      <w:r>
        <w:rPr>
          <w:rFonts w:hint="eastAsia" w:cs="Times New Roman"/>
          <w:kern w:val="2"/>
          <w:sz w:val="24"/>
          <w:lang w:val="en-US" w:eastAsia="zh-CN" w:bidi="ar-SA"/>
        </w:rPr>
        <w:t>o</w:t>
      </w:r>
      <w: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  <w:t>)</w:t>
      </w:r>
      <w:r>
        <w:rPr>
          <w:rFonts w:hint="eastAsia" w:cs="Times New Roman"/>
          <w:kern w:val="2"/>
          <w:sz w:val="24"/>
          <w:lang w:val="en-US" w:eastAsia="zh-CN" w:bidi="ar-SA"/>
        </w:rPr>
        <w:t xml:space="preserve"> </w:t>
      </w:r>
      <w:r>
        <w:rPr>
          <w:rFonts w:hint="eastAsia"/>
          <w:sz w:val="24"/>
          <w:lang w:eastAsia="zh-CN"/>
        </w:rPr>
        <w:t>未经实验室书面批准，不得部分复制证书或报告的声明。</w:t>
      </w:r>
    </w:p>
    <w:p w14:paraId="7B3C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 xml:space="preserve">8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复校时间间隔</w:t>
      </w:r>
    </w:p>
    <w:p w14:paraId="27D7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由于复校时间间隔的长短是由仪器的使用情况、使用者、仪器本身质量等因素所决定，因此送校单位可根据实际使用情况自主决定复校时间间隔，建议不超过1年。如果对仪器的检测数据有怀疑或仪器更换主要部件及修理后，应对仪器重新校准。</w:t>
      </w:r>
    </w:p>
    <w:p w14:paraId="25E92797">
      <w:pPr>
        <w:rPr>
          <w:sz w:val="24"/>
        </w:rPr>
      </w:pPr>
    </w:p>
    <w:p w14:paraId="6EB7BD1D">
      <w:pPr>
        <w:rPr>
          <w:sz w:val="24"/>
        </w:rPr>
      </w:pPr>
    </w:p>
    <w:p w14:paraId="46542DA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 w14:paraId="0C85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附录A</w:t>
      </w:r>
    </w:p>
    <w:p w14:paraId="3A3B1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校准</w:t>
      </w:r>
      <w:r>
        <w:rPr>
          <w:rFonts w:hint="eastAsia" w:ascii="黑体" w:hAnsi="黑体" w:eastAsia="黑体" w:cs="黑体"/>
          <w:sz w:val="28"/>
          <w:szCs w:val="28"/>
        </w:rPr>
        <w:t>记录格式</w:t>
      </w:r>
    </w:p>
    <w:p w14:paraId="0C924C01">
      <w:pPr>
        <w:rPr>
          <w:color w:val="000000"/>
          <w:szCs w:val="21"/>
          <w:u w:val="single"/>
        </w:rPr>
      </w:pPr>
      <w:r>
        <w:rPr>
          <w:color w:val="000000"/>
          <w:szCs w:val="21"/>
        </w:rPr>
        <w:t>证书编号</w:t>
      </w:r>
      <w:r>
        <w:rPr>
          <w:rFonts w:hint="eastAsia"/>
          <w:color w:val="000000"/>
          <w:szCs w:val="21"/>
          <w:lang w:eastAsia="zh-CN"/>
        </w:rPr>
        <w:t>：</w:t>
      </w:r>
      <w:r>
        <w:rPr>
          <w:color w:val="000000"/>
          <w:szCs w:val="21"/>
          <w:u w:val="single"/>
        </w:rPr>
        <w:t xml:space="preserve">                             </w:t>
      </w:r>
    </w:p>
    <w:tbl>
      <w:tblPr>
        <w:tblStyle w:val="12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266"/>
        <w:gridCol w:w="363"/>
        <w:gridCol w:w="1087"/>
        <w:gridCol w:w="362"/>
        <w:gridCol w:w="543"/>
        <w:gridCol w:w="1449"/>
        <w:gridCol w:w="181"/>
        <w:gridCol w:w="1812"/>
      </w:tblGrid>
      <w:tr w14:paraId="55E7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vAlign w:val="center"/>
          </w:tcPr>
          <w:p w14:paraId="1544E8F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申请者名称</w:t>
            </w:r>
          </w:p>
        </w:tc>
        <w:tc>
          <w:tcPr>
            <w:tcW w:w="7063" w:type="dxa"/>
            <w:gridSpan w:val="8"/>
            <w:vAlign w:val="center"/>
          </w:tcPr>
          <w:p w14:paraId="2B312314">
            <w:pPr>
              <w:jc w:val="center"/>
              <w:rPr>
                <w:color w:val="000000"/>
                <w:szCs w:val="21"/>
              </w:rPr>
            </w:pPr>
          </w:p>
        </w:tc>
      </w:tr>
      <w:tr w14:paraId="0237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vAlign w:val="center"/>
          </w:tcPr>
          <w:p w14:paraId="7A5AF41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样品生产厂家</w:t>
            </w:r>
          </w:p>
        </w:tc>
        <w:tc>
          <w:tcPr>
            <w:tcW w:w="3078" w:type="dxa"/>
            <w:gridSpan w:val="4"/>
            <w:vAlign w:val="center"/>
          </w:tcPr>
          <w:p w14:paraId="50C875D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6CD4D59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申请单位地址</w:t>
            </w:r>
          </w:p>
        </w:tc>
        <w:tc>
          <w:tcPr>
            <w:tcW w:w="1993" w:type="dxa"/>
            <w:gridSpan w:val="2"/>
            <w:vAlign w:val="center"/>
          </w:tcPr>
          <w:p w14:paraId="098D3CBC">
            <w:pPr>
              <w:jc w:val="center"/>
              <w:rPr>
                <w:color w:val="000000"/>
                <w:szCs w:val="21"/>
              </w:rPr>
            </w:pPr>
          </w:p>
        </w:tc>
      </w:tr>
      <w:tr w14:paraId="54AB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vAlign w:val="center"/>
          </w:tcPr>
          <w:p w14:paraId="4B34C86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型号</w:t>
            </w:r>
          </w:p>
        </w:tc>
        <w:tc>
          <w:tcPr>
            <w:tcW w:w="3078" w:type="dxa"/>
            <w:gridSpan w:val="4"/>
            <w:vAlign w:val="center"/>
          </w:tcPr>
          <w:p w14:paraId="6CA708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12E5A72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出厂编号</w:t>
            </w:r>
          </w:p>
        </w:tc>
        <w:tc>
          <w:tcPr>
            <w:tcW w:w="1993" w:type="dxa"/>
            <w:gridSpan w:val="2"/>
            <w:vAlign w:val="center"/>
          </w:tcPr>
          <w:p w14:paraId="3393E4C1">
            <w:pPr>
              <w:jc w:val="center"/>
              <w:rPr>
                <w:color w:val="000000"/>
                <w:szCs w:val="21"/>
              </w:rPr>
            </w:pPr>
          </w:p>
        </w:tc>
      </w:tr>
      <w:tr w14:paraId="441A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3224235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样品外观检查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 w14:paraId="4B2B4FB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校准</w:t>
            </w:r>
            <w:r>
              <w:rPr>
                <w:color w:val="000000"/>
                <w:szCs w:val="21"/>
              </w:rPr>
              <w:t>前</w:t>
            </w:r>
          </w:p>
        </w:tc>
        <w:tc>
          <w:tcPr>
            <w:tcW w:w="1812" w:type="dxa"/>
            <w:gridSpan w:val="3"/>
            <w:tcBorders>
              <w:bottom w:val="single" w:color="auto" w:sz="4" w:space="0"/>
            </w:tcBorders>
            <w:vAlign w:val="center"/>
          </w:tcPr>
          <w:p w14:paraId="0D3A9097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□正常 □</w:t>
            </w:r>
            <w:r>
              <w:rPr>
                <w:rFonts w:ascii="宋体" w:hAnsi="宋体"/>
                <w:szCs w:val="21"/>
              </w:rPr>
              <w:t>不</w:t>
            </w:r>
            <w:r>
              <w:rPr>
                <w:color w:val="000000"/>
                <w:szCs w:val="21"/>
              </w:rPr>
              <w:t>正常</w:t>
            </w:r>
          </w:p>
        </w:tc>
        <w:tc>
          <w:tcPr>
            <w:tcW w:w="1992" w:type="dxa"/>
            <w:gridSpan w:val="2"/>
            <w:tcBorders>
              <w:bottom w:val="single" w:color="auto" w:sz="4" w:space="0"/>
            </w:tcBorders>
            <w:vAlign w:val="center"/>
          </w:tcPr>
          <w:p w14:paraId="3A67013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校准</w:t>
            </w:r>
            <w:r>
              <w:rPr>
                <w:color w:val="000000"/>
                <w:szCs w:val="21"/>
              </w:rPr>
              <w:t>后</w:t>
            </w: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 w14:paraId="4D30DAC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□正常  □</w:t>
            </w:r>
            <w:r>
              <w:rPr>
                <w:rFonts w:ascii="宋体" w:hAnsi="宋体"/>
                <w:szCs w:val="21"/>
              </w:rPr>
              <w:t>不</w:t>
            </w:r>
            <w:r>
              <w:rPr>
                <w:rFonts w:ascii="宋体" w:hAnsi="宋体"/>
                <w:color w:val="000000"/>
                <w:szCs w:val="21"/>
              </w:rPr>
              <w:t>正常</w:t>
            </w:r>
          </w:p>
        </w:tc>
      </w:tr>
      <w:tr w14:paraId="6B41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6313297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样品来源</w:t>
            </w:r>
          </w:p>
        </w:tc>
        <w:tc>
          <w:tcPr>
            <w:tcW w:w="3078" w:type="dxa"/>
            <w:gridSpan w:val="4"/>
            <w:tcBorders>
              <w:bottom w:val="single" w:color="auto" w:sz="4" w:space="0"/>
            </w:tcBorders>
            <w:vAlign w:val="center"/>
          </w:tcPr>
          <w:p w14:paraId="565B938E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现场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送样</w:t>
            </w:r>
          </w:p>
        </w:tc>
        <w:tc>
          <w:tcPr>
            <w:tcW w:w="1992" w:type="dxa"/>
            <w:gridSpan w:val="2"/>
            <w:tcBorders>
              <w:bottom w:val="single" w:color="auto" w:sz="4" w:space="0"/>
            </w:tcBorders>
            <w:vAlign w:val="center"/>
          </w:tcPr>
          <w:p w14:paraId="10D1A3C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校准</w:t>
            </w:r>
            <w:r>
              <w:rPr>
                <w:color w:val="000000"/>
                <w:szCs w:val="21"/>
              </w:rPr>
              <w:t>地点</w:t>
            </w: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 w14:paraId="395B6AFE">
            <w:pPr>
              <w:jc w:val="center"/>
              <w:rPr>
                <w:color w:val="000000"/>
                <w:szCs w:val="21"/>
              </w:rPr>
            </w:pPr>
          </w:p>
        </w:tc>
      </w:tr>
      <w:tr w14:paraId="0410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55BA232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校准</w:t>
            </w:r>
            <w:r>
              <w:rPr>
                <w:color w:val="000000"/>
                <w:szCs w:val="21"/>
              </w:rPr>
              <w:t>日期</w:t>
            </w:r>
          </w:p>
        </w:tc>
        <w:tc>
          <w:tcPr>
            <w:tcW w:w="3078" w:type="dxa"/>
            <w:gridSpan w:val="4"/>
            <w:tcBorders>
              <w:bottom w:val="single" w:color="auto" w:sz="4" w:space="0"/>
            </w:tcBorders>
            <w:vAlign w:val="center"/>
          </w:tcPr>
          <w:p w14:paraId="364B597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92" w:type="dxa"/>
            <w:gridSpan w:val="2"/>
            <w:tcBorders>
              <w:bottom w:val="single" w:color="auto" w:sz="4" w:space="0"/>
            </w:tcBorders>
            <w:vAlign w:val="center"/>
          </w:tcPr>
          <w:p w14:paraId="53173A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下次</w:t>
            </w:r>
            <w:r>
              <w:rPr>
                <w:rFonts w:hint="eastAsia"/>
                <w:color w:val="000000"/>
                <w:szCs w:val="21"/>
                <w:lang w:eastAsia="zh-CN"/>
              </w:rPr>
              <w:t>校准</w:t>
            </w:r>
            <w:r>
              <w:rPr>
                <w:color w:val="000000"/>
                <w:szCs w:val="21"/>
              </w:rPr>
              <w:t>日期</w:t>
            </w:r>
          </w:p>
        </w:tc>
        <w:tc>
          <w:tcPr>
            <w:tcW w:w="199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64B0922E">
            <w:pPr>
              <w:jc w:val="center"/>
              <w:rPr>
                <w:color w:val="000000"/>
                <w:szCs w:val="21"/>
              </w:rPr>
            </w:pPr>
          </w:p>
        </w:tc>
      </w:tr>
      <w:tr w14:paraId="0F4E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vAlign w:val="center"/>
          </w:tcPr>
          <w:p w14:paraId="707946F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校准</w:t>
            </w:r>
            <w:r>
              <w:rPr>
                <w:color w:val="000000"/>
                <w:szCs w:val="21"/>
              </w:rPr>
              <w:t>依据</w:t>
            </w:r>
          </w:p>
        </w:tc>
        <w:tc>
          <w:tcPr>
            <w:tcW w:w="7063" w:type="dxa"/>
            <w:gridSpan w:val="8"/>
            <w:vAlign w:val="center"/>
          </w:tcPr>
          <w:p w14:paraId="2C833AF4">
            <w:pPr>
              <w:jc w:val="center"/>
              <w:rPr>
                <w:color w:val="000000"/>
                <w:szCs w:val="21"/>
              </w:rPr>
            </w:pPr>
          </w:p>
        </w:tc>
      </w:tr>
      <w:tr w14:paraId="663B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vAlign w:val="center"/>
          </w:tcPr>
          <w:p w14:paraId="1555101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环境温度(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℃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3078" w:type="dxa"/>
            <w:gridSpan w:val="4"/>
            <w:vAlign w:val="center"/>
          </w:tcPr>
          <w:p w14:paraId="4C5E0C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645B89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环境湿度(%RH)</w:t>
            </w:r>
          </w:p>
        </w:tc>
        <w:tc>
          <w:tcPr>
            <w:tcW w:w="1993" w:type="dxa"/>
            <w:gridSpan w:val="2"/>
            <w:vAlign w:val="center"/>
          </w:tcPr>
          <w:p w14:paraId="7163B60E">
            <w:pPr>
              <w:jc w:val="center"/>
              <w:rPr>
                <w:color w:val="000000"/>
                <w:szCs w:val="21"/>
              </w:rPr>
            </w:pPr>
          </w:p>
        </w:tc>
      </w:tr>
      <w:tr w14:paraId="61B1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2197216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标准器名称</w:t>
            </w:r>
          </w:p>
        </w:tc>
        <w:tc>
          <w:tcPr>
            <w:tcW w:w="1629" w:type="dxa"/>
            <w:gridSpan w:val="2"/>
            <w:tcBorders>
              <w:bottom w:val="single" w:color="auto" w:sz="4" w:space="0"/>
            </w:tcBorders>
            <w:vAlign w:val="center"/>
          </w:tcPr>
          <w:p w14:paraId="3733A90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测量范围</w:t>
            </w:r>
          </w:p>
        </w:tc>
        <w:tc>
          <w:tcPr>
            <w:tcW w:w="1449" w:type="dxa"/>
            <w:gridSpan w:val="2"/>
            <w:tcBorders>
              <w:bottom w:val="single" w:color="auto" w:sz="4" w:space="0"/>
            </w:tcBorders>
            <w:vAlign w:val="center"/>
          </w:tcPr>
          <w:p w14:paraId="00397DC6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不确定度</w:t>
            </w:r>
          </w:p>
        </w:tc>
        <w:tc>
          <w:tcPr>
            <w:tcW w:w="2173" w:type="dxa"/>
            <w:gridSpan w:val="3"/>
            <w:tcBorders>
              <w:bottom w:val="single" w:color="auto" w:sz="4" w:space="0"/>
            </w:tcBorders>
            <w:vAlign w:val="center"/>
          </w:tcPr>
          <w:p w14:paraId="4C4CDD8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溯源机构及</w:t>
            </w:r>
            <w:r>
              <w:rPr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vAlign w:val="center"/>
          </w:tcPr>
          <w:p w14:paraId="1382228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有效期至</w:t>
            </w:r>
          </w:p>
        </w:tc>
      </w:tr>
      <w:tr w14:paraId="6A9D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9BD7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CC0BB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DE2AF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AAB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6292">
            <w:pPr>
              <w:jc w:val="center"/>
              <w:rPr>
                <w:color w:val="000000"/>
                <w:szCs w:val="21"/>
              </w:rPr>
            </w:pPr>
          </w:p>
        </w:tc>
      </w:tr>
      <w:tr w14:paraId="0F7C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007E5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7B5A22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20F7E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0B8A9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686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8AE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378A7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6C77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94944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4AAB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E51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8DF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 w14:paraId="6A4EB02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设备使用记录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</w:tcBorders>
            <w:vAlign w:val="center"/>
          </w:tcPr>
          <w:p w14:paraId="26CB60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使用前的记录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</w:tcBorders>
            <w:vAlign w:val="center"/>
          </w:tcPr>
          <w:p w14:paraId="621CE8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□正常 □</w:t>
            </w:r>
            <w:r>
              <w:rPr>
                <w:rFonts w:ascii="宋体" w:hAnsi="宋体"/>
                <w:szCs w:val="21"/>
              </w:rPr>
              <w:t>不</w:t>
            </w:r>
            <w:r>
              <w:rPr>
                <w:rFonts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</w:tcBorders>
            <w:vAlign w:val="center"/>
          </w:tcPr>
          <w:p w14:paraId="5D31D4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使用后的记录</w:t>
            </w:r>
          </w:p>
        </w:tc>
        <w:tc>
          <w:tcPr>
            <w:tcW w:w="1812" w:type="dxa"/>
            <w:tcBorders>
              <w:top w:val="single" w:color="auto" w:sz="4" w:space="0"/>
            </w:tcBorders>
            <w:vAlign w:val="center"/>
          </w:tcPr>
          <w:p w14:paraId="56C32EF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□正常 □</w:t>
            </w:r>
            <w:r>
              <w:rPr>
                <w:rFonts w:ascii="宋体" w:hAnsi="宋体"/>
                <w:szCs w:val="21"/>
              </w:rPr>
              <w:t>不</w:t>
            </w:r>
            <w:r>
              <w:rPr>
                <w:rFonts w:ascii="宋体" w:hAnsi="宋体"/>
                <w:color w:val="000000"/>
                <w:szCs w:val="21"/>
              </w:rPr>
              <w:t>正常</w:t>
            </w:r>
          </w:p>
        </w:tc>
      </w:tr>
      <w:tr w14:paraId="6BEF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vAlign w:val="center"/>
          </w:tcPr>
          <w:p w14:paraId="5979533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校准</w:t>
            </w:r>
            <w:r>
              <w:rPr>
                <w:color w:val="000000"/>
                <w:szCs w:val="21"/>
              </w:rPr>
              <w:t>员</w:t>
            </w:r>
          </w:p>
        </w:tc>
        <w:tc>
          <w:tcPr>
            <w:tcW w:w="2716" w:type="dxa"/>
            <w:gridSpan w:val="3"/>
            <w:vAlign w:val="center"/>
          </w:tcPr>
          <w:p w14:paraId="5E2918E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35" w:type="dxa"/>
            <w:gridSpan w:val="4"/>
            <w:vAlign w:val="center"/>
          </w:tcPr>
          <w:p w14:paraId="4737E3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核验员</w:t>
            </w:r>
          </w:p>
        </w:tc>
        <w:tc>
          <w:tcPr>
            <w:tcW w:w="1812" w:type="dxa"/>
            <w:vAlign w:val="center"/>
          </w:tcPr>
          <w:p w14:paraId="08B3115A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44A3E117">
      <w:pPr>
        <w:spacing w:before="120" w:beforeLines="50" w:after="120" w:afterLines="50"/>
        <w:rPr>
          <w:sz w:val="24"/>
          <w:szCs w:val="21"/>
        </w:rPr>
      </w:pPr>
      <w:r>
        <w:rPr>
          <w:sz w:val="24"/>
          <w:szCs w:val="21"/>
        </w:rPr>
        <w:t>1.</w:t>
      </w:r>
      <w:r>
        <w:rPr>
          <w:rFonts w:hint="eastAsia"/>
          <w:sz w:val="24"/>
          <w:szCs w:val="21"/>
        </w:rPr>
        <w:t>示值误差</w:t>
      </w:r>
    </w:p>
    <w:tbl>
      <w:tblPr>
        <w:tblStyle w:val="12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900"/>
        <w:gridCol w:w="954"/>
        <w:gridCol w:w="936"/>
        <w:gridCol w:w="928"/>
        <w:gridCol w:w="1090"/>
        <w:gridCol w:w="1009"/>
        <w:gridCol w:w="1115"/>
      </w:tblGrid>
      <w:tr w14:paraId="2487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00" w:type="dxa"/>
            <w:vAlign w:val="center"/>
          </w:tcPr>
          <w:p w14:paraId="6D14B0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气体浓度</w:t>
            </w:r>
            <w:r>
              <w:rPr>
                <w:rFonts w:hint="eastAsia"/>
                <w:sz w:val="21"/>
                <w:szCs w:val="21"/>
              </w:rPr>
              <w:t>值</w:t>
            </w:r>
          </w:p>
        </w:tc>
        <w:tc>
          <w:tcPr>
            <w:tcW w:w="2790" w:type="dxa"/>
            <w:gridSpan w:val="3"/>
            <w:vAlign w:val="center"/>
          </w:tcPr>
          <w:p w14:paraId="588AB4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测量值</w:t>
            </w:r>
          </w:p>
        </w:tc>
        <w:tc>
          <w:tcPr>
            <w:tcW w:w="928" w:type="dxa"/>
            <w:vAlign w:val="center"/>
          </w:tcPr>
          <w:p w14:paraId="2CC5CB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</w:t>
            </w:r>
          </w:p>
        </w:tc>
        <w:tc>
          <w:tcPr>
            <w:tcW w:w="1090" w:type="dxa"/>
            <w:vAlign w:val="center"/>
          </w:tcPr>
          <w:p w14:paraId="18170A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示值误差</w:t>
            </w:r>
          </w:p>
        </w:tc>
        <w:tc>
          <w:tcPr>
            <w:tcW w:w="1009" w:type="dxa"/>
            <w:vAlign w:val="center"/>
          </w:tcPr>
          <w:p w14:paraId="3F75B01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校准不确定度</w:t>
            </w:r>
          </w:p>
        </w:tc>
        <w:tc>
          <w:tcPr>
            <w:tcW w:w="1115" w:type="dxa"/>
            <w:vAlign w:val="center"/>
          </w:tcPr>
          <w:p w14:paraId="3287AB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测量范围</w:t>
            </w:r>
          </w:p>
        </w:tc>
      </w:tr>
      <w:tr w14:paraId="4FD6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00" w:type="dxa"/>
            <w:vAlign w:val="center"/>
          </w:tcPr>
          <w:p w14:paraId="4A1CEB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96FB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E1F1F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0AEF6A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72E24C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5433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28512B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0D973BA3">
            <w:pPr>
              <w:jc w:val="center"/>
              <w:rPr>
                <w:sz w:val="21"/>
                <w:szCs w:val="21"/>
              </w:rPr>
            </w:pPr>
          </w:p>
        </w:tc>
      </w:tr>
      <w:tr w14:paraId="7084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00" w:type="dxa"/>
            <w:vAlign w:val="center"/>
          </w:tcPr>
          <w:p w14:paraId="1BC97E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48B79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1CD4AA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65421A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9A41A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F4B4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09088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4835D1D0">
            <w:pPr>
              <w:jc w:val="center"/>
              <w:rPr>
                <w:sz w:val="21"/>
                <w:szCs w:val="21"/>
              </w:rPr>
            </w:pPr>
          </w:p>
        </w:tc>
      </w:tr>
      <w:tr w14:paraId="5022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00" w:type="dxa"/>
            <w:vAlign w:val="center"/>
          </w:tcPr>
          <w:p w14:paraId="0A631A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6A3C5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657D1A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1C65F2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88233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10648C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580BDF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11FC632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5AB404B">
      <w:pPr>
        <w:spacing w:before="120" w:beforeLines="50" w:after="120" w:afterLines="50"/>
        <w:rPr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2</w:t>
      </w:r>
      <w:r>
        <w:rPr>
          <w:rFonts w:hint="eastAsia"/>
          <w:sz w:val="24"/>
          <w:szCs w:val="21"/>
        </w:rPr>
        <w:t>.重复性</w:t>
      </w:r>
    </w:p>
    <w:tbl>
      <w:tblPr>
        <w:tblStyle w:val="12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828"/>
        <w:gridCol w:w="828"/>
        <w:gridCol w:w="828"/>
        <w:gridCol w:w="828"/>
        <w:gridCol w:w="828"/>
        <w:gridCol w:w="831"/>
        <w:gridCol w:w="947"/>
        <w:gridCol w:w="947"/>
      </w:tblGrid>
      <w:tr w14:paraId="1886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vAlign w:val="center"/>
          </w:tcPr>
          <w:p w14:paraId="25D48F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气体浓度</w:t>
            </w:r>
            <w:r>
              <w:rPr>
                <w:rFonts w:hint="eastAsia"/>
                <w:sz w:val="21"/>
                <w:szCs w:val="21"/>
              </w:rPr>
              <w:t>值</w:t>
            </w:r>
          </w:p>
        </w:tc>
        <w:tc>
          <w:tcPr>
            <w:tcW w:w="4971" w:type="dxa"/>
            <w:gridSpan w:val="6"/>
            <w:vAlign w:val="center"/>
          </w:tcPr>
          <w:p w14:paraId="12181C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测量值</w:t>
            </w:r>
          </w:p>
        </w:tc>
        <w:tc>
          <w:tcPr>
            <w:tcW w:w="947" w:type="dxa"/>
            <w:vAlign w:val="center"/>
          </w:tcPr>
          <w:p w14:paraId="7E64B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</w:t>
            </w:r>
          </w:p>
        </w:tc>
        <w:tc>
          <w:tcPr>
            <w:tcW w:w="947" w:type="dxa"/>
            <w:vAlign w:val="center"/>
          </w:tcPr>
          <w:p w14:paraId="003F5F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重复性</w:t>
            </w:r>
          </w:p>
        </w:tc>
      </w:tr>
      <w:tr w14:paraId="3361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vAlign w:val="center"/>
          </w:tcPr>
          <w:p w14:paraId="7DA4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4C650E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47957F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018A6A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13A71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36A2CD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E4907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02433C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567B549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AEAE007">
      <w:pPr>
        <w:spacing w:before="120" w:beforeLines="50" w:after="120" w:afterLines="50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3.响应时间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D99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4" w:type="dxa"/>
            <w:vAlign w:val="center"/>
          </w:tcPr>
          <w:p w14:paraId="7D74BE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气体浓度</w:t>
            </w:r>
            <w:r>
              <w:rPr>
                <w:rFonts w:hint="eastAsia"/>
                <w:sz w:val="21"/>
                <w:szCs w:val="21"/>
              </w:rPr>
              <w:t>值</w:t>
            </w:r>
          </w:p>
        </w:tc>
        <w:tc>
          <w:tcPr>
            <w:tcW w:w="5113" w:type="dxa"/>
            <w:gridSpan w:val="3"/>
            <w:vAlign w:val="center"/>
          </w:tcPr>
          <w:p w14:paraId="5198AD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响应时间/s</w:t>
            </w:r>
          </w:p>
        </w:tc>
        <w:tc>
          <w:tcPr>
            <w:tcW w:w="1705" w:type="dxa"/>
            <w:vAlign w:val="center"/>
          </w:tcPr>
          <w:p w14:paraId="23BC17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平均值/s</w:t>
            </w:r>
          </w:p>
        </w:tc>
      </w:tr>
      <w:tr w14:paraId="31CD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4" w:type="dxa"/>
            <w:vAlign w:val="center"/>
          </w:tcPr>
          <w:p w14:paraId="033B02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677224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076DC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5C0A4F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316455A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2FDB9C7">
      <w:pPr>
        <w:numPr>
          <w:ilvl w:val="0"/>
          <w:numId w:val="2"/>
        </w:numPr>
        <w:spacing w:before="120" w:beforeLines="50" w:after="120" w:afterLines="50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报警功能及报警值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D81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4" w:type="dxa"/>
            <w:vAlign w:val="center"/>
          </w:tcPr>
          <w:p w14:paraId="0E0971E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报警功能</w:t>
            </w:r>
          </w:p>
        </w:tc>
        <w:tc>
          <w:tcPr>
            <w:tcW w:w="6818" w:type="dxa"/>
            <w:gridSpan w:val="4"/>
            <w:vAlign w:val="center"/>
          </w:tcPr>
          <w:p w14:paraId="339C9C3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□正常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/>
                <w:szCs w:val="21"/>
              </w:rPr>
              <w:t>不</w:t>
            </w:r>
            <w:r>
              <w:rPr>
                <w:rFonts w:ascii="宋体" w:hAnsi="宋体"/>
                <w:color w:val="000000"/>
                <w:szCs w:val="21"/>
              </w:rPr>
              <w:t>正常</w:t>
            </w:r>
          </w:p>
        </w:tc>
      </w:tr>
      <w:tr w14:paraId="4F74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4" w:type="dxa"/>
            <w:vAlign w:val="center"/>
          </w:tcPr>
          <w:p w14:paraId="43B25B89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报警设定值</w:t>
            </w:r>
          </w:p>
        </w:tc>
        <w:tc>
          <w:tcPr>
            <w:tcW w:w="5113" w:type="dxa"/>
            <w:gridSpan w:val="3"/>
            <w:vAlign w:val="center"/>
          </w:tcPr>
          <w:p w14:paraId="741750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实测报警值</w:t>
            </w:r>
          </w:p>
        </w:tc>
        <w:tc>
          <w:tcPr>
            <w:tcW w:w="1705" w:type="dxa"/>
            <w:vAlign w:val="center"/>
          </w:tcPr>
          <w:p w14:paraId="6BC4A3D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仪器</w:t>
            </w:r>
            <w:bookmarkStart w:id="9" w:name="_GoBack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报警值</w:t>
            </w:r>
          </w:p>
        </w:tc>
      </w:tr>
      <w:tr w14:paraId="6B75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4" w:type="dxa"/>
            <w:vAlign w:val="center"/>
          </w:tcPr>
          <w:p w14:paraId="73EA95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715B3B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19300B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0F87C2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3860CFF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DAFBBA6">
      <w:pPr>
        <w:numPr>
          <w:ilvl w:val="0"/>
          <w:numId w:val="0"/>
        </w:numPr>
        <w:spacing w:before="120" w:beforeLines="50" w:after="120" w:afterLines="50"/>
        <w:rPr>
          <w:rFonts w:hint="default"/>
          <w:sz w:val="24"/>
          <w:szCs w:val="21"/>
          <w:lang w:val="en-US" w:eastAsia="zh-CN"/>
        </w:rPr>
      </w:pPr>
    </w:p>
    <w:p w14:paraId="67CD35C4">
      <w:pPr>
        <w:spacing w:before="120" w:beforeLines="50" w:after="120" w:afterLines="50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5.漂移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8F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5" w:type="dxa"/>
            <w:vAlign w:val="center"/>
          </w:tcPr>
          <w:p w14:paraId="2EA59D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065" w:type="dxa"/>
            <w:vAlign w:val="center"/>
          </w:tcPr>
          <w:p w14:paraId="75EF4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3C666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 min</w:t>
            </w:r>
          </w:p>
          <w:p w14:paraId="68EDB9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h</w:t>
            </w:r>
          </w:p>
        </w:tc>
        <w:tc>
          <w:tcPr>
            <w:tcW w:w="1065" w:type="dxa"/>
            <w:vAlign w:val="center"/>
          </w:tcPr>
          <w:p w14:paraId="76D7C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 min</w:t>
            </w:r>
          </w:p>
          <w:p w14:paraId="4751F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 h</w:t>
            </w:r>
          </w:p>
        </w:tc>
        <w:tc>
          <w:tcPr>
            <w:tcW w:w="1065" w:type="dxa"/>
            <w:vAlign w:val="center"/>
          </w:tcPr>
          <w:p w14:paraId="05263E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 min</w:t>
            </w:r>
          </w:p>
          <w:p w14:paraId="12734C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 h</w:t>
            </w:r>
          </w:p>
        </w:tc>
        <w:tc>
          <w:tcPr>
            <w:tcW w:w="1065" w:type="dxa"/>
            <w:vAlign w:val="center"/>
          </w:tcPr>
          <w:p w14:paraId="27D8D8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 min</w:t>
            </w:r>
          </w:p>
          <w:p w14:paraId="789959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 xml:space="preserve"> h</w:t>
            </w:r>
          </w:p>
        </w:tc>
        <w:tc>
          <w:tcPr>
            <w:tcW w:w="1066" w:type="dxa"/>
            <w:vAlign w:val="center"/>
          </w:tcPr>
          <w:p w14:paraId="4B82DE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零点漂移</w:t>
            </w:r>
          </w:p>
        </w:tc>
        <w:tc>
          <w:tcPr>
            <w:tcW w:w="1066" w:type="dxa"/>
            <w:vAlign w:val="center"/>
          </w:tcPr>
          <w:p w14:paraId="2CACCC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量程漂移</w:t>
            </w:r>
          </w:p>
        </w:tc>
      </w:tr>
      <w:tr w14:paraId="084E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5" w:type="dxa"/>
            <w:vAlign w:val="center"/>
          </w:tcPr>
          <w:p w14:paraId="745C4E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零点值</w:t>
            </w:r>
          </w:p>
        </w:tc>
        <w:tc>
          <w:tcPr>
            <w:tcW w:w="1065" w:type="dxa"/>
            <w:vAlign w:val="center"/>
          </w:tcPr>
          <w:p w14:paraId="7AF4EB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60400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454A6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1A05E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638E6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798783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106F6F47">
            <w:pPr>
              <w:jc w:val="center"/>
              <w:rPr>
                <w:sz w:val="21"/>
                <w:szCs w:val="21"/>
              </w:rPr>
            </w:pPr>
          </w:p>
        </w:tc>
      </w:tr>
      <w:tr w14:paraId="6453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5" w:type="dxa"/>
            <w:vAlign w:val="center"/>
          </w:tcPr>
          <w:p w14:paraId="2C731B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量程值</w:t>
            </w:r>
          </w:p>
        </w:tc>
        <w:tc>
          <w:tcPr>
            <w:tcW w:w="1065" w:type="dxa"/>
            <w:vAlign w:val="center"/>
          </w:tcPr>
          <w:p w14:paraId="7D230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29492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13F64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2861F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B202A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470C30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CAFDDF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DEFFD33">
      <w:pPr>
        <w:rPr>
          <w:rFonts w:hint="eastAsia"/>
          <w:szCs w:val="21"/>
        </w:rPr>
      </w:pPr>
    </w:p>
    <w:p w14:paraId="68287966">
      <w:pPr>
        <w:rPr>
          <w:szCs w:val="21"/>
        </w:rPr>
      </w:pPr>
    </w:p>
    <w:p w14:paraId="5E03F83A">
      <w:pPr>
        <w:rPr>
          <w:szCs w:val="21"/>
        </w:rPr>
      </w:pPr>
    </w:p>
    <w:p w14:paraId="653EA3AA">
      <w:pPr>
        <w:rPr>
          <w:szCs w:val="21"/>
        </w:rPr>
      </w:pPr>
    </w:p>
    <w:p w14:paraId="421323E9">
      <w:pPr>
        <w:rPr>
          <w:szCs w:val="21"/>
        </w:rPr>
      </w:pPr>
    </w:p>
    <w:p w14:paraId="1757AC31">
      <w:pPr>
        <w:rPr>
          <w:szCs w:val="21"/>
        </w:rPr>
      </w:pPr>
    </w:p>
    <w:p w14:paraId="35BDAEE2">
      <w:pPr>
        <w:rPr>
          <w:szCs w:val="21"/>
        </w:rPr>
      </w:pPr>
    </w:p>
    <w:p w14:paraId="2C196895">
      <w:pPr>
        <w:rPr>
          <w:szCs w:val="21"/>
        </w:rPr>
      </w:pPr>
    </w:p>
    <w:p w14:paraId="31021D9E">
      <w:pPr>
        <w:rPr>
          <w:szCs w:val="21"/>
        </w:rPr>
      </w:pPr>
    </w:p>
    <w:p w14:paraId="7D234A17">
      <w:pPr>
        <w:rPr>
          <w:szCs w:val="21"/>
        </w:rPr>
      </w:pPr>
    </w:p>
    <w:p w14:paraId="1E609ABA">
      <w:pPr>
        <w:rPr>
          <w:szCs w:val="21"/>
        </w:rPr>
      </w:pPr>
    </w:p>
    <w:p w14:paraId="60699EB1">
      <w:pPr>
        <w:rPr>
          <w:szCs w:val="21"/>
        </w:rPr>
      </w:pPr>
    </w:p>
    <w:p w14:paraId="03CEBDCD">
      <w:pPr>
        <w:rPr>
          <w:szCs w:val="21"/>
        </w:rPr>
      </w:pPr>
    </w:p>
    <w:p w14:paraId="3EEF660A">
      <w:pPr>
        <w:rPr>
          <w:szCs w:val="21"/>
        </w:rPr>
      </w:pPr>
    </w:p>
    <w:p w14:paraId="02515EFC">
      <w:pPr>
        <w:rPr>
          <w:szCs w:val="21"/>
        </w:rPr>
      </w:pPr>
    </w:p>
    <w:p w14:paraId="49C8C5C2">
      <w:pPr>
        <w:rPr>
          <w:szCs w:val="21"/>
        </w:rPr>
      </w:pPr>
    </w:p>
    <w:p w14:paraId="73B98C15">
      <w:pPr>
        <w:rPr>
          <w:szCs w:val="21"/>
        </w:rPr>
      </w:pPr>
    </w:p>
    <w:p w14:paraId="41AA5B56">
      <w:pPr>
        <w:rPr>
          <w:szCs w:val="21"/>
        </w:rPr>
      </w:pPr>
    </w:p>
    <w:p w14:paraId="38173B85">
      <w:pPr>
        <w:rPr>
          <w:szCs w:val="21"/>
        </w:rPr>
      </w:pPr>
    </w:p>
    <w:p w14:paraId="6ACBFA0F">
      <w:pPr>
        <w:rPr>
          <w:szCs w:val="21"/>
        </w:rPr>
      </w:pPr>
    </w:p>
    <w:p w14:paraId="54627B3C">
      <w:pPr>
        <w:rPr>
          <w:szCs w:val="21"/>
        </w:rPr>
      </w:pPr>
    </w:p>
    <w:p w14:paraId="7C7F65BD">
      <w:pPr>
        <w:rPr>
          <w:szCs w:val="21"/>
        </w:rPr>
      </w:pPr>
    </w:p>
    <w:p w14:paraId="6F7EC739">
      <w:pPr>
        <w:rPr>
          <w:szCs w:val="21"/>
        </w:rPr>
      </w:pPr>
    </w:p>
    <w:p w14:paraId="0D8132CA">
      <w:pPr>
        <w:rPr>
          <w:szCs w:val="21"/>
        </w:rPr>
      </w:pPr>
    </w:p>
    <w:p w14:paraId="7A52C250">
      <w:pPr>
        <w:rPr>
          <w:szCs w:val="21"/>
        </w:rPr>
      </w:pPr>
    </w:p>
    <w:p w14:paraId="7904DB7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 w14:paraId="391FCB33">
      <w:pPr>
        <w:widowControl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附录B</w:t>
      </w:r>
    </w:p>
    <w:p w14:paraId="3874AF59">
      <w:pPr>
        <w:spacing w:before="120" w:beforeLines="50" w:after="120" w:afterLines="5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校准</w:t>
      </w:r>
      <w:r>
        <w:rPr>
          <w:rFonts w:hint="eastAsia" w:ascii="黑体" w:hAnsi="黑体" w:eastAsia="黑体" w:cs="黑体"/>
          <w:sz w:val="28"/>
          <w:szCs w:val="28"/>
        </w:rPr>
        <w:t>证书内页格式</w:t>
      </w:r>
    </w:p>
    <w:p w14:paraId="1C42D7D1">
      <w:pPr>
        <w:spacing w:before="120" w:beforeLines="50" w:after="120" w:afterLines="50"/>
        <w:jc w:val="center"/>
        <w:rPr>
          <w:rFonts w:eastAsia="黑体"/>
          <w:sz w:val="28"/>
          <w:szCs w:val="21"/>
        </w:rPr>
      </w:pPr>
      <w:r>
        <w:rPr>
          <w:rFonts w:hint="eastAsia" w:eastAsia="黑体"/>
          <w:sz w:val="28"/>
          <w:szCs w:val="21"/>
          <w:lang w:eastAsia="zh-CN"/>
        </w:rPr>
        <w:t>校准</w:t>
      </w:r>
      <w:r>
        <w:rPr>
          <w:rFonts w:eastAsia="黑体"/>
          <w:sz w:val="28"/>
          <w:szCs w:val="21"/>
        </w:rPr>
        <w:t>结果</w:t>
      </w:r>
    </w:p>
    <w:tbl>
      <w:tblPr>
        <w:tblStyle w:val="13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228"/>
        <w:gridCol w:w="2228"/>
        <w:gridCol w:w="2228"/>
      </w:tblGrid>
      <w:tr w14:paraId="48DD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28" w:type="dxa"/>
            <w:vAlign w:val="center"/>
          </w:tcPr>
          <w:p w14:paraId="4473E1E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校准</w:t>
            </w: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228" w:type="dxa"/>
            <w:vAlign w:val="center"/>
          </w:tcPr>
          <w:p w14:paraId="738FBC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2228" w:type="dxa"/>
            <w:vAlign w:val="center"/>
          </w:tcPr>
          <w:p w14:paraId="263F34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校准</w:t>
            </w:r>
            <w:r>
              <w:rPr>
                <w:rFonts w:hint="eastAsia"/>
                <w:sz w:val="21"/>
                <w:szCs w:val="21"/>
              </w:rPr>
              <w:t>结果</w:t>
            </w:r>
          </w:p>
        </w:tc>
        <w:tc>
          <w:tcPr>
            <w:tcW w:w="2228" w:type="dxa"/>
            <w:vAlign w:val="center"/>
          </w:tcPr>
          <w:p w14:paraId="228F84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结果判定</w:t>
            </w:r>
          </w:p>
        </w:tc>
      </w:tr>
      <w:tr w14:paraId="5856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28" w:type="dxa"/>
            <w:vAlign w:val="center"/>
          </w:tcPr>
          <w:p w14:paraId="460FF5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示值误差</w:t>
            </w:r>
          </w:p>
        </w:tc>
        <w:tc>
          <w:tcPr>
            <w:tcW w:w="2228" w:type="dxa"/>
            <w:vAlign w:val="center"/>
          </w:tcPr>
          <w:p w14:paraId="16F8ED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4ED63A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07368077">
            <w:pPr>
              <w:jc w:val="center"/>
              <w:rPr>
                <w:sz w:val="21"/>
                <w:szCs w:val="21"/>
              </w:rPr>
            </w:pPr>
          </w:p>
        </w:tc>
      </w:tr>
      <w:tr w14:paraId="7E1F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28" w:type="dxa"/>
            <w:vAlign w:val="center"/>
          </w:tcPr>
          <w:p w14:paraId="7B1D8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重复性</w:t>
            </w:r>
          </w:p>
        </w:tc>
        <w:tc>
          <w:tcPr>
            <w:tcW w:w="2228" w:type="dxa"/>
            <w:vAlign w:val="center"/>
          </w:tcPr>
          <w:p w14:paraId="30294A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6C1B03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6645590E">
            <w:pPr>
              <w:jc w:val="center"/>
              <w:rPr>
                <w:sz w:val="21"/>
                <w:szCs w:val="21"/>
              </w:rPr>
            </w:pPr>
          </w:p>
        </w:tc>
      </w:tr>
      <w:tr w14:paraId="48F2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28" w:type="dxa"/>
            <w:vAlign w:val="center"/>
          </w:tcPr>
          <w:p w14:paraId="5F286D4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响应时间</w:t>
            </w:r>
          </w:p>
        </w:tc>
        <w:tc>
          <w:tcPr>
            <w:tcW w:w="2228" w:type="dxa"/>
            <w:vAlign w:val="center"/>
          </w:tcPr>
          <w:p w14:paraId="0027DA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7521D4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53652E5C">
            <w:pPr>
              <w:jc w:val="center"/>
              <w:rPr>
                <w:sz w:val="21"/>
                <w:szCs w:val="21"/>
              </w:rPr>
            </w:pPr>
          </w:p>
        </w:tc>
      </w:tr>
      <w:tr w14:paraId="40BC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28" w:type="dxa"/>
            <w:vAlign w:val="center"/>
          </w:tcPr>
          <w:p w14:paraId="463BD7E7">
            <w:pPr>
              <w:numPr>
                <w:ilvl w:val="0"/>
                <w:numId w:val="0"/>
              </w:numPr>
              <w:spacing w:before="120" w:beforeLines="50" w:after="120" w:after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报警功能及报警值</w:t>
            </w:r>
          </w:p>
        </w:tc>
        <w:tc>
          <w:tcPr>
            <w:tcW w:w="2228" w:type="dxa"/>
            <w:vAlign w:val="center"/>
          </w:tcPr>
          <w:p w14:paraId="348F7F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2EC9F2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6E8B34F5">
            <w:pPr>
              <w:jc w:val="center"/>
              <w:rPr>
                <w:sz w:val="21"/>
                <w:szCs w:val="21"/>
              </w:rPr>
            </w:pPr>
          </w:p>
        </w:tc>
      </w:tr>
      <w:tr w14:paraId="2563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28" w:type="dxa"/>
            <w:vAlign w:val="center"/>
          </w:tcPr>
          <w:p w14:paraId="700EE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零点</w:t>
            </w:r>
            <w:r>
              <w:rPr>
                <w:rFonts w:hint="eastAsia"/>
                <w:sz w:val="21"/>
                <w:szCs w:val="21"/>
              </w:rPr>
              <w:t>漂移</w:t>
            </w:r>
          </w:p>
        </w:tc>
        <w:tc>
          <w:tcPr>
            <w:tcW w:w="2228" w:type="dxa"/>
            <w:vAlign w:val="center"/>
          </w:tcPr>
          <w:p w14:paraId="15371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38C55D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477C5B3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B9A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28" w:type="dxa"/>
            <w:vAlign w:val="center"/>
          </w:tcPr>
          <w:p w14:paraId="336C72A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量程漂移</w:t>
            </w:r>
          </w:p>
        </w:tc>
        <w:tc>
          <w:tcPr>
            <w:tcW w:w="2228" w:type="dxa"/>
            <w:vAlign w:val="center"/>
          </w:tcPr>
          <w:p w14:paraId="5CC989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2974C1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1C0EA59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69292876">
      <w:pPr>
        <w:ind w:firstLine="240" w:firstLineChars="100"/>
        <w:rPr>
          <w:rFonts w:hint="eastAsia"/>
          <w:sz w:val="24"/>
          <w:lang w:val="en-US" w:eastAsia="zh-CN"/>
        </w:rPr>
      </w:pPr>
    </w:p>
    <w:p w14:paraId="60D06F26">
      <w:pPr>
        <w:ind w:firstLine="240" w:firstLineChars="1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校准结果的不确定度：</w:t>
      </w:r>
    </w:p>
    <w:p w14:paraId="5F09144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1941C259">
      <w:pPr>
        <w:widowControl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附录C</w:t>
      </w:r>
    </w:p>
    <w:p w14:paraId="0EC78C9E"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硅烷</w:t>
      </w:r>
      <w:r>
        <w:rPr>
          <w:rFonts w:hint="eastAsia" w:eastAsia="黑体" w:cs="黑体"/>
          <w:sz w:val="28"/>
          <w:szCs w:val="28"/>
        </w:rPr>
        <w:t>气体检测仪</w:t>
      </w:r>
      <w:r>
        <w:rPr>
          <w:rFonts w:hint="eastAsia" w:ascii="黑体" w:eastAsia="黑体" w:cs="黑体"/>
          <w:sz w:val="28"/>
          <w:szCs w:val="28"/>
        </w:rPr>
        <w:t>校准结果的测量不确定度评定</w:t>
      </w:r>
    </w:p>
    <w:p w14:paraId="186A49B1">
      <w:pPr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1  </w:t>
      </w:r>
      <w:r>
        <w:rPr>
          <w:rFonts w:hint="eastAsia" w:eastAsia="黑体" w:cs="黑体"/>
          <w:sz w:val="24"/>
          <w:szCs w:val="24"/>
        </w:rPr>
        <w:t>概述</w:t>
      </w:r>
    </w:p>
    <w:p w14:paraId="4099B8EF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1.1</w:t>
      </w:r>
      <w:r>
        <w:rPr>
          <w:rFonts w:hint="eastAsia" w:ascii="宋体" w:hAnsi="宋体" w:cs="宋体"/>
          <w:sz w:val="24"/>
          <w:szCs w:val="24"/>
        </w:rPr>
        <w:t xml:space="preserve">  环境条件：符合本校准规范规定的环境条件。</w:t>
      </w:r>
    </w:p>
    <w:p w14:paraId="6458740D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1.2</w:t>
      </w:r>
      <w:r>
        <w:rPr>
          <w:rFonts w:hint="eastAsia" w:ascii="宋体" w:hAnsi="宋体" w:cs="宋体"/>
          <w:sz w:val="24"/>
          <w:szCs w:val="24"/>
        </w:rPr>
        <w:t xml:space="preserve">  测量标准：</w:t>
      </w:r>
      <w:r>
        <w:rPr>
          <w:rFonts w:hint="eastAsia" w:ascii="宋体" w:hAnsi="宋体" w:cs="宋体"/>
          <w:sz w:val="24"/>
          <w:szCs w:val="24"/>
          <w:lang w:eastAsia="zh-CN"/>
        </w:rPr>
        <w:t>硅烷</w:t>
      </w:r>
      <w:r>
        <w:rPr>
          <w:rFonts w:hint="eastAsia" w:ascii="宋体" w:hAnsi="宋体" w:cs="宋体"/>
          <w:sz w:val="24"/>
          <w:szCs w:val="24"/>
        </w:rPr>
        <w:t>标准气体：</w:t>
      </w:r>
      <w:r>
        <w:rPr>
          <w:rFonts w:hint="eastAsia" w:ascii="宋体" w:hAnsi="宋体"/>
          <w:sz w:val="24"/>
        </w:rPr>
        <w:t>相对扩展不确定度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iCs/>
          <w:sz w:val="24"/>
          <w:vertAlign w:val="subscript"/>
        </w:rPr>
        <w:t>rel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ascii="宋体" w:hAnsi="宋体" w:cs="宋体"/>
          <w:sz w:val="24"/>
          <w:szCs w:val="24"/>
        </w:rPr>
        <w:t>%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宋体" w:hAnsi="宋体" w:cs="宋体"/>
          <w:i/>
          <w:iCs/>
          <w:sz w:val="24"/>
          <w:szCs w:val="24"/>
        </w:rPr>
        <w:t>k</w:t>
      </w:r>
      <w:r>
        <w:rPr>
          <w:rFonts w:ascii="宋体" w:hAnsi="宋体" w:cs="宋体"/>
          <w:sz w:val="24"/>
          <w:szCs w:val="24"/>
        </w:rPr>
        <w:t>=2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068FEA6">
      <w:pPr>
        <w:spacing w:line="360" w:lineRule="auto"/>
        <w:jc w:val="left"/>
        <w:rPr>
          <w:rFonts w:ascii="宋体"/>
          <w:color w:val="FF00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1.3</w:t>
      </w:r>
      <w:r>
        <w:rPr>
          <w:rFonts w:hint="eastAsia" w:ascii="宋体" w:hAnsi="宋体" w:cs="宋体"/>
          <w:sz w:val="24"/>
          <w:szCs w:val="24"/>
        </w:rPr>
        <w:t xml:space="preserve">  被校仪器：</w:t>
      </w:r>
      <w:r>
        <w:rPr>
          <w:rFonts w:hint="eastAsia" w:ascii="宋体" w:hAnsi="宋体" w:cs="宋体"/>
          <w:sz w:val="24"/>
          <w:szCs w:val="24"/>
          <w:lang w:eastAsia="zh-CN"/>
        </w:rPr>
        <w:t>硅烷</w:t>
      </w:r>
      <w:r>
        <w:rPr>
          <w:rFonts w:hint="eastAsia" w:ascii="宋体" w:hAnsi="宋体" w:cs="宋体"/>
          <w:sz w:val="24"/>
          <w:szCs w:val="24"/>
        </w:rPr>
        <w:t>气体检测仪。测量范围：</w:t>
      </w:r>
      <w:r>
        <w:rPr>
          <w:rFonts w:hint="eastAsia" w:ascii="宋体" w:hAnsi="宋体" w:cs="宋体"/>
          <w:color w:val="000000"/>
          <w:sz w:val="24"/>
          <w:szCs w:val="24"/>
        </w:rPr>
        <w:t>（</w:t>
      </w:r>
      <w:r>
        <w:rPr>
          <w:rFonts w:ascii="宋体" w:cs="宋体"/>
          <w:color w:val="000000"/>
          <w:sz w:val="24"/>
          <w:szCs w:val="24"/>
        </w:rPr>
        <w:t>0</w:t>
      </w:r>
      <w:r>
        <w:rPr>
          <w:rFonts w:hint="eastAsia" w:ascii="宋体" w:hAnsi="宋体" w:cs="宋体"/>
          <w:color w:val="000000"/>
          <w:sz w:val="24"/>
          <w:szCs w:val="24"/>
        </w:rPr>
        <w:t>～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50</w:t>
      </w:r>
      <w:r>
        <w:rPr>
          <w:rFonts w:hint="eastAsia" w:ascii="宋体" w:hAnsi="宋体" w:cs="宋体"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µmol/mol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 w14:paraId="46FDFDAC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1.4</w:t>
      </w:r>
      <w:r>
        <w:rPr>
          <w:rFonts w:hint="eastAsia" w:ascii="宋体" w:hAnsi="宋体" w:cs="宋体"/>
          <w:sz w:val="24"/>
          <w:szCs w:val="24"/>
        </w:rPr>
        <w:t xml:space="preserve">  测量方法：按照仪器使用说明书中的要求，分别通入零点气体和</w:t>
      </w:r>
      <w:r>
        <w:rPr>
          <w:rFonts w:hint="eastAsia" w:ascii="宋体" w:hAnsi="宋体" w:cs="宋体"/>
          <w:kern w:val="0"/>
          <w:sz w:val="24"/>
          <w:szCs w:val="24"/>
        </w:rPr>
        <w:t>浓度约为</w:t>
      </w:r>
      <w:r>
        <w:rPr>
          <w:rFonts w:hint="eastAsia" w:ascii="宋体" w:hAnsi="宋体" w:cs="宋体"/>
          <w:sz w:val="24"/>
          <w:szCs w:val="24"/>
        </w:rPr>
        <w:t>满量程</w:t>
      </w:r>
      <w:r>
        <w:rPr>
          <w:rFonts w:ascii="宋体" w:hAnsi="宋体" w:cs="宋体"/>
          <w:sz w:val="24"/>
          <w:szCs w:val="24"/>
        </w:rPr>
        <w:t>50%</w:t>
      </w:r>
      <w:r>
        <w:rPr>
          <w:rFonts w:hint="eastAsia" w:ascii="宋体" w:hAnsi="宋体" w:cs="宋体"/>
          <w:sz w:val="24"/>
          <w:szCs w:val="24"/>
        </w:rPr>
        <w:t>的气体标准物质，调整仪器的零点和示值。</w:t>
      </w:r>
      <w:r>
        <w:rPr>
          <w:rFonts w:hint="eastAsia" w:ascii="宋体" w:hAnsi="宋体" w:cs="宋体"/>
          <w:kern w:val="0"/>
          <w:sz w:val="24"/>
          <w:szCs w:val="24"/>
        </w:rPr>
        <w:t>依次通入浓度约为满量程</w:t>
      </w:r>
      <w:r>
        <w:rPr>
          <w:rFonts w:ascii="宋体" w:hAnsi="宋体" w:cs="宋体"/>
          <w:kern w:val="0"/>
          <w:sz w:val="24"/>
          <w:szCs w:val="24"/>
        </w:rPr>
        <w:t>20%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50%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80%</w:t>
      </w:r>
      <w:r>
        <w:rPr>
          <w:rFonts w:hint="eastAsia" w:ascii="宋体" w:hAnsi="宋体" w:cs="宋体"/>
          <w:kern w:val="0"/>
          <w:sz w:val="24"/>
          <w:szCs w:val="24"/>
        </w:rPr>
        <w:t>的气体标准物质，记录稳定后的示值，然后</w:t>
      </w:r>
      <w:r>
        <w:rPr>
          <w:rFonts w:hint="eastAsia" w:ascii="宋体" w:hAnsi="宋体"/>
          <w:sz w:val="24"/>
        </w:rPr>
        <w:t>通入零点气体待示值回零后，</w:t>
      </w:r>
      <w:r>
        <w:rPr>
          <w:rFonts w:ascii="宋体" w:hAnsi="宋体"/>
          <w:kern w:val="0"/>
          <w:sz w:val="24"/>
        </w:rPr>
        <w:t>再通入上述气体标准物质。</w:t>
      </w:r>
      <w:r>
        <w:rPr>
          <w:rFonts w:hint="eastAsia" w:ascii="宋体" w:hAnsi="宋体"/>
          <w:sz w:val="24"/>
        </w:rPr>
        <w:t>每点重复测量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次，</w:t>
      </w:r>
      <w:r>
        <w:rPr>
          <w:rFonts w:hint="eastAsia" w:ascii="宋体" w:hAnsi="宋体" w:cs="宋体"/>
          <w:kern w:val="0"/>
          <w:sz w:val="24"/>
        </w:rPr>
        <w:t>3次示值的</w:t>
      </w:r>
      <w:r>
        <w:rPr>
          <w:rFonts w:hint="eastAsia" w:ascii="宋体" w:hAnsi="宋体"/>
          <w:sz w:val="24"/>
        </w:rPr>
        <w:t>算术平均值</w:t>
      </w:r>
      <w:r>
        <w:rPr>
          <w:rFonts w:hint="eastAsia" w:ascii="宋体" w:hAnsi="宋体" w:cs="宋体"/>
          <w:sz w:val="24"/>
          <w:szCs w:val="24"/>
        </w:rPr>
        <w:t>与气体标准物质浓度值的差值为该仪器的示值误差。</w:t>
      </w:r>
    </w:p>
    <w:p w14:paraId="18F98162">
      <w:pPr>
        <w:spacing w:line="360" w:lineRule="auto"/>
        <w:rPr>
          <w:rFonts w:ascii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测量模型</w:t>
      </w:r>
    </w:p>
    <w:p w14:paraId="16E8CDA2">
      <w:pPr>
        <w:spacing w:line="360" w:lineRule="auto"/>
        <w:ind w:firstLine="3480" w:firstLineChars="1450"/>
        <w:rPr>
          <w:rFonts w:ascii="宋体"/>
          <w:sz w:val="24"/>
          <w:szCs w:val="24"/>
        </w:rPr>
      </w:pPr>
      <m:oMath>
        <m:r>
          <m:rPr/>
          <w:rPr>
            <w:rFonts w:ascii="Cambria Math" w:hAnsi="宋体" w:cs="宋体"/>
            <w:sz w:val="24"/>
            <w:szCs w:val="24"/>
          </w:rPr>
          <m:t>Δx=</m:t>
        </m:r>
        <m:limUpp>
          <m:limUppPr>
            <m:ctrlPr>
              <w:rPr>
                <w:rFonts w:ascii="Cambria Math" w:hAnsi="宋体" w:cs="宋体"/>
                <w:i/>
                <w:sz w:val="24"/>
                <w:szCs w:val="24"/>
              </w:rPr>
            </m:ctrlPr>
          </m:limUppPr>
          <m:e>
            <m:r>
              <m:rPr/>
              <w:rPr>
                <w:rFonts w:ascii="Cambria Math" w:hAnsi="宋体" w:cs="宋体"/>
                <w:sz w:val="24"/>
                <w:szCs w:val="24"/>
              </w:rPr>
              <m:t>x</m:t>
            </m:r>
            <m:ctrlPr>
              <w:rPr>
                <w:rFonts w:ascii="Cambria Math" w:hAnsi="宋体" w:cs="宋体"/>
                <w:i/>
                <w:sz w:val="24"/>
                <w:szCs w:val="24"/>
              </w:rPr>
            </m:ctrlPr>
          </m:e>
          <m:lim>
            <m:r>
              <m:rPr/>
              <w:rPr>
                <w:rFonts w:ascii="Cambria Math" w:hAnsi="宋体" w:cs="宋体"/>
                <w:sz w:val="24"/>
                <w:szCs w:val="24"/>
              </w:rPr>
              <m:t>__</m:t>
            </m:r>
            <m:ctrlPr>
              <w:rPr>
                <w:rFonts w:ascii="Cambria Math" w:hAnsi="宋体" w:cs="宋体"/>
                <w:i/>
                <w:sz w:val="24"/>
                <w:szCs w:val="24"/>
              </w:rPr>
            </m:ctrlPr>
          </m:lim>
        </m:limUpp>
        <m:r>
          <m:rPr/>
          <w:rPr>
            <w:rFonts w:hint="eastAsia" w:ascii="微软雅黑" w:hAnsi="微软雅黑" w:eastAsia="微软雅黑" w:cs="微软雅黑"/>
            <w:sz w:val="24"/>
            <w:szCs w:val="24"/>
          </w:rPr>
          <m:t>−</m:t>
        </m:r>
        <m:sSub>
          <m:sSubPr>
            <m:ctrlPr>
              <w:rPr>
                <w:rFonts w:ascii="Cambria Math" w:hAnsi="宋体" w:cs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宋体" w:cs="宋体"/>
                <w:sz w:val="24"/>
                <w:szCs w:val="24"/>
              </w:rPr>
              <m:t>x</m:t>
            </m:r>
            <m:ctrlPr>
              <w:rPr>
                <w:rFonts w:ascii="Cambria Math" w:hAnsi="宋体" w:cs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宋体" w:cs="宋体"/>
                <w:sz w:val="24"/>
                <w:szCs w:val="24"/>
              </w:rPr>
              <m:t>s</m:t>
            </m:r>
            <m:ctrlPr>
              <w:rPr>
                <w:rFonts w:ascii="Cambria Math" w:hAnsi="宋体" w:cs="宋体"/>
                <w:i/>
                <w:sz w:val="24"/>
                <w:szCs w:val="24"/>
              </w:rPr>
            </m:ctrlPr>
          </m:sub>
        </m:sSub>
      </m:oMath>
      <w:r>
        <w:rPr>
          <w:rFonts w:ascii="宋体" w:hAnsi="宋体" w:cs="宋体"/>
          <w:position w:val="-10"/>
          <w:sz w:val="24"/>
          <w:szCs w:val="24"/>
        </w:rPr>
        <w:t xml:space="preserve">                              </w:t>
      </w:r>
      <w:r>
        <w:rPr>
          <w:rFonts w:hint="eastAsia" w:ascii="宋体" w:hAnsi="宋体" w:cs="宋体"/>
          <w:position w:val="-1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）</w:t>
      </w:r>
    </w:p>
    <w:p w14:paraId="7C258CBA">
      <w:pPr>
        <w:spacing w:line="360" w:lineRule="auto"/>
        <w:ind w:firstLine="480" w:firstLineChars="200"/>
        <w:rPr>
          <w:position w:val="-6"/>
          <w:sz w:val="24"/>
        </w:rPr>
      </w:pPr>
      <w:r>
        <w:rPr>
          <w:rFonts w:hint="eastAsia"/>
          <w:position w:val="-6"/>
          <w:sz w:val="24"/>
        </w:rPr>
        <w:t>式中：</w:t>
      </w:r>
    </w:p>
    <w:p w14:paraId="4794A359">
      <w:pPr>
        <w:spacing w:line="360" w:lineRule="auto"/>
        <w:ind w:firstLine="420" w:firstLineChars="200"/>
        <w:rPr>
          <w:rFonts w:ascii="宋体"/>
          <w:sz w:val="24"/>
        </w:rPr>
      </w:pPr>
      <m:oMath>
        <m:r>
          <m:rPr/>
          <w:rPr>
            <w:rFonts w:ascii="Cambria Math"/>
          </w:rPr>
          <m:t>Δx</m:t>
        </m:r>
      </m:oMath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trike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fldChar w:fldCharType="begin"/>
      </w:r>
      <w:r>
        <w:rPr>
          <w:rFonts w:ascii="宋体" w:hAnsi="宋体"/>
          <w:sz w:val="24"/>
          <w:u w:val="single"/>
        </w:rPr>
        <w:instrText xml:space="preserve"> QUOTE </w:instrText>
      </w:r>
      <w:r>
        <w:rPr>
          <w:u w:val="single"/>
        </w:rPr>
        <w:pict>
          <v:shape id="_x0000_i1041" o:spt="75" type="#_x0000_t75" style="height:14.4pt;width:21.6pt;" filled="f" o:preferrelative="t" stroked="f" coordsize="21600,21600" equationxml="&lt;">
            <v:path/>
            <v:fill on="f" focussize="0,0"/>
            <v:stroke on="f" joinstyle="miter"/>
            <v:imagedata r:id="rId48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sz w:val="24"/>
          <w:u w:val="single"/>
        </w:rPr>
        <w:fldChar w:fldCharType="end"/>
      </w:r>
      <w:r>
        <w:rPr>
          <w:rFonts w:hint="eastAsia" w:ascii="宋体" w:hAnsi="宋体"/>
          <w:sz w:val="24"/>
        </w:rPr>
        <w:t>示值误差，</w:t>
      </w:r>
      <w:r>
        <w:rPr>
          <w:sz w:val="24"/>
        </w:rPr>
        <w:t>μmol/mol</w:t>
      </w:r>
      <w:r>
        <w:rPr>
          <w:rFonts w:hint="eastAsia" w:ascii="宋体" w:hAnsi="宋体"/>
          <w:sz w:val="24"/>
        </w:rPr>
        <w:t>；</w:t>
      </w:r>
    </w:p>
    <w:p w14:paraId="2C4B56D7">
      <w:pPr>
        <w:spacing w:line="360" w:lineRule="auto"/>
        <w:ind w:firstLine="420" w:firstLineChars="200"/>
        <w:rPr>
          <w:rFonts w:ascii="宋体"/>
          <w:kern w:val="0"/>
          <w:sz w:val="24"/>
        </w:rPr>
      </w:pP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/>
              <w:rPr>
                <w:rFonts w:asci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bar>
      </m:oMath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ascii="宋体" w:hAnsi="宋体"/>
          <w:strike/>
          <w:sz w:val="24"/>
        </w:rPr>
        <w:t xml:space="preserve">     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次示值的算术平均值，</w:t>
      </w:r>
      <w:r>
        <w:rPr>
          <w:sz w:val="24"/>
        </w:rPr>
        <w:t>μmol/mol</w:t>
      </w:r>
      <w:r>
        <w:rPr>
          <w:rFonts w:hint="eastAsia"/>
          <w:sz w:val="24"/>
        </w:rPr>
        <w:t>；</w:t>
      </w:r>
    </w:p>
    <w:p w14:paraId="614F30D9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m:oMath>
        <m:r>
          <m:rPr/>
          <w:rPr>
            <w:rFonts w:ascii="Cambria Math" w:hAnsi="Cambria Math"/>
            <w:sz w:val="24"/>
          </w:rPr>
          <m:t xml:space="preserve">      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x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QUOTE </w:instrText>
      </w:r>
      <w:r>
        <w:pict>
          <v:shape id="_x0000_i1042" o:spt="75" type="#_x0000_t75" style="height:14.4pt;width:14.4pt;" filled="f" o:preferrelative="t" stroked="f" coordsize="21600,21600" equationxml="&lt;">
            <v:path/>
            <v:fill on="f" focussize="0,0"/>
            <v:stroke on="f" joinstyle="miter"/>
            <v:imagedata r:id="rId49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trike/>
          <w:sz w:val="24"/>
        </w:rPr>
        <w:t xml:space="preserve">     </w:t>
      </w:r>
      <w:r>
        <w:rPr>
          <w:rFonts w:hint="eastAsia" w:ascii="宋体" w:hAnsi="宋体"/>
          <w:sz w:val="24"/>
        </w:rPr>
        <w:t>气体标准物质浓度值，</w:t>
      </w:r>
      <w:r>
        <w:rPr>
          <w:sz w:val="24"/>
        </w:rPr>
        <w:t>μmol/mol</w:t>
      </w:r>
      <w:r>
        <w:rPr>
          <w:rFonts w:hint="eastAsia" w:ascii="宋体" w:hAnsi="宋体"/>
          <w:sz w:val="24"/>
        </w:rPr>
        <w:t>。</w:t>
      </w:r>
    </w:p>
    <w:p w14:paraId="3611DE42">
      <w:pPr>
        <w:adjustRightInd w:val="0"/>
        <w:snapToGrid w:val="0"/>
        <w:spacing w:line="360" w:lineRule="auto"/>
        <w:rPr>
          <w:rFonts w:ascii="黑体" w:hAnsi="黑体" w:eastAsia="黑体" w:cs="黑体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测量不确定度来源</w:t>
      </w:r>
    </w:p>
    <w:p w14:paraId="66885341">
      <w:p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cs="宋体"/>
          <w:sz w:val="24"/>
          <w:szCs w:val="24"/>
        </w:rPr>
        <w:t>3.1</w:t>
      </w:r>
      <w:r>
        <w:rPr>
          <w:rFonts w:hint="eastAsia" w:ascii="宋体" w:hAnsi="宋体" w:cs="宋体"/>
          <w:sz w:val="24"/>
          <w:szCs w:val="24"/>
          <w:lang w:eastAsia="zh-CN"/>
        </w:rPr>
        <w:t>硅烷</w:t>
      </w:r>
      <w:r>
        <w:rPr>
          <w:rFonts w:hint="eastAsia" w:ascii="宋体" w:hAnsi="宋体" w:cs="宋体"/>
          <w:sz w:val="24"/>
          <w:szCs w:val="24"/>
        </w:rPr>
        <w:t>气体标准物质的</w:t>
      </w:r>
      <w:r>
        <w:rPr>
          <w:rFonts w:hint="eastAsia" w:ascii="宋体" w:hAnsi="宋体"/>
          <w:sz w:val="24"/>
        </w:rPr>
        <w:t>定值</w:t>
      </w:r>
      <w:r>
        <w:rPr>
          <w:rFonts w:hint="eastAsia"/>
          <w:sz w:val="24"/>
        </w:rPr>
        <w:t>引入的不确定度</w:t>
      </w:r>
      <w:r>
        <w:rPr>
          <w:rFonts w:hint="eastAsia" w:ascii="宋体" w:hAnsi="宋体"/>
          <w:sz w:val="24"/>
        </w:rPr>
        <w:t>。</w:t>
      </w:r>
    </w:p>
    <w:p w14:paraId="16EED72E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/>
          <w:sz w:val="24"/>
          <w:szCs w:val="24"/>
        </w:rPr>
        <w:t xml:space="preserve">2  </w:t>
      </w:r>
      <w:r>
        <w:rPr>
          <w:rFonts w:hint="eastAsia" w:ascii="宋体" w:hAnsi="宋体" w:cs="宋体"/>
          <w:sz w:val="24"/>
          <w:szCs w:val="24"/>
        </w:rPr>
        <w:t>环境条件、人员操作、流量控制、被校仪器等各种随机因素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体现在测量重复性引入的不确定度中。</w:t>
      </w:r>
    </w:p>
    <w:p w14:paraId="63C1CF22">
      <w:pPr>
        <w:spacing w:line="360" w:lineRule="auto"/>
        <w:rPr>
          <w:rFonts w:ascii="宋体"/>
          <w:sz w:val="24"/>
          <w:szCs w:val="24"/>
        </w:rPr>
      </w:pPr>
      <w:r>
        <w:rPr>
          <w:sz w:val="24"/>
          <w:szCs w:val="24"/>
        </w:rPr>
        <w:t xml:space="preserve">4  </w:t>
      </w:r>
      <w:r>
        <w:rPr>
          <w:rFonts w:hint="eastAsia" w:ascii="黑体" w:hAnsi="黑体" w:eastAsia="黑体" w:cs="黑体"/>
          <w:sz w:val="24"/>
          <w:szCs w:val="24"/>
        </w:rPr>
        <w:t>标准不确定度评定</w:t>
      </w:r>
    </w:p>
    <w:p w14:paraId="1D3439E0">
      <w:pPr>
        <w:spacing w:line="360" w:lineRule="auto"/>
        <w:rPr>
          <w:rFonts w:ascii="宋体"/>
          <w:sz w:val="24"/>
        </w:rPr>
      </w:pPr>
      <w:r>
        <w:rPr>
          <w:rFonts w:ascii="宋体" w:hAnsi="宋体" w:cs="宋体"/>
          <w:sz w:val="24"/>
          <w:szCs w:val="24"/>
        </w:rPr>
        <w:t>4.1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硅烷</w:t>
      </w:r>
      <w:r>
        <w:rPr>
          <w:rFonts w:hint="eastAsia" w:ascii="宋体" w:hAnsi="宋体" w:cs="宋体"/>
          <w:sz w:val="24"/>
          <w:szCs w:val="24"/>
        </w:rPr>
        <w:t>气</w:t>
      </w:r>
      <w:r>
        <w:rPr>
          <w:rFonts w:hint="eastAsia" w:ascii="宋体" w:hAnsi="宋体"/>
          <w:sz w:val="24"/>
        </w:rPr>
        <w:t>体标准物质</w:t>
      </w:r>
      <w:r>
        <w:rPr>
          <w:rFonts w:hint="eastAsia"/>
          <w:sz w:val="24"/>
        </w:rPr>
        <w:t>的定值引入的标准不确定度</w:t>
      </w:r>
      <m:oMath>
        <m:r>
          <m:rPr/>
          <w:rPr>
            <w:rFonts w:ascii="Cambria Math"/>
            <w:sz w:val="24"/>
          </w:rPr>
          <m:t>u(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/>
                <w:sz w:val="24"/>
              </w:rPr>
              <m:t>x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/>
                <w:sz w:val="24"/>
              </w:rPr>
              <m:t>s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/>
          <w:rPr>
            <w:rFonts w:ascii="Cambria Math"/>
            <w:sz w:val="24"/>
          </w:rPr>
          <m:t>)</m:t>
        </m:r>
      </m:oMath>
    </w:p>
    <w:p w14:paraId="779CF6C7"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采用的</w:t>
      </w:r>
      <w:r>
        <w:rPr>
          <w:rFonts w:hint="eastAsia" w:ascii="宋体" w:hAnsi="宋体" w:cs="宋体"/>
          <w:sz w:val="24"/>
          <w:szCs w:val="24"/>
          <w:lang w:eastAsia="zh-CN"/>
        </w:rPr>
        <w:t>硅烷</w:t>
      </w:r>
      <w:r>
        <w:rPr>
          <w:rFonts w:hint="eastAsia" w:ascii="宋体" w:hAnsi="宋体" w:cs="宋体"/>
          <w:sz w:val="24"/>
          <w:szCs w:val="24"/>
        </w:rPr>
        <w:t>气体标准物质，其定值相对扩展不确定度为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ascii="宋体" w:hAnsi="宋体" w:cs="宋体"/>
          <w:sz w:val="24"/>
          <w:szCs w:val="24"/>
        </w:rPr>
        <w:t>%</w:t>
      </w:r>
      <w:r>
        <w:rPr>
          <w:rFonts w:hint="eastAsia" w:ascii="宋体" w:hAnsi="宋体" w:cs="宋体"/>
          <w:sz w:val="24"/>
          <w:szCs w:val="24"/>
        </w:rPr>
        <w:t>。包含因子</w:t>
      </w:r>
      <w:r>
        <w:rPr>
          <w:rFonts w:ascii="宋体" w:hAnsi="宋体" w:cs="宋体"/>
          <w:i/>
          <w:iCs/>
          <w:sz w:val="24"/>
          <w:szCs w:val="24"/>
        </w:rPr>
        <w:t>k</w:t>
      </w:r>
      <w:r>
        <w:rPr>
          <w:rFonts w:ascii="宋体" w:hAnsi="宋体" w:cs="宋体"/>
          <w:sz w:val="24"/>
          <w:szCs w:val="24"/>
        </w:rPr>
        <w:t>=2</w:t>
      </w:r>
      <w:r>
        <w:rPr>
          <w:rFonts w:hint="eastAsia" w:ascii="宋体" w:hAnsi="宋体" w:cs="宋体"/>
          <w:sz w:val="24"/>
          <w:szCs w:val="24"/>
        </w:rPr>
        <w:t>。则气体标准物质的定值引入的标准不确定度为：</w:t>
      </w:r>
    </w:p>
    <w:p w14:paraId="5BB4172B">
      <w:pPr>
        <w:adjustRightInd w:val="0"/>
        <w:snapToGrid w:val="0"/>
        <w:spacing w:line="360" w:lineRule="auto"/>
        <w:jc w:val="right"/>
        <w:rPr>
          <w:rFonts w:ascii="宋体"/>
          <w:sz w:val="24"/>
          <w:szCs w:val="24"/>
        </w:rPr>
      </w:pPr>
      <m:oMath>
        <m:r>
          <m:rPr/>
          <w:rPr>
            <w:rFonts w:ascii="Cambria Math" w:hAnsi="Cambria Math"/>
            <w:sz w:val="24"/>
            <w:szCs w:val="30"/>
          </w:rPr>
          <m:t xml:space="preserve"> </m:t>
        </m:r>
        <m:r>
          <m:rPr/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w:fldChar w:fldCharType="begin"/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QUOTE </m:t>
        </m:r>
        <m:r>
          <w:rPr>
            <w:rFonts w:ascii="Cambria Math" w:hAnsi="Cambria Math"/>
            <w:sz w:val="24"/>
            <w:szCs w:val="24"/>
          </w:rPr>
          <w:drawing>
            <wp:inline distT="0" distB="0" distL="0" distR="0">
              <wp:extent cx="1573530" cy="409575"/>
              <wp:effectExtent l="0" t="0" r="7620" b="8890"/>
              <wp:docPr id="38" name="图片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图片 38"/>
                      <pic:cNvPicPr>
                        <a:picLocks noChangeAspect="1" noChangeArrowheads="1"/>
                      </pic:cNvPicPr>
                    </pic:nvPicPr>
                    <pic:blipFill>
                      <a:blip r:embed="rId50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353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hAnsi="Cambria Math"/>
            <w:sz w:val="24"/>
            <w:szCs w:val="24"/>
          </w:rPr>
          <w:fldChar w:fldCharType="end"/>
        </m:r>
        <m:r>
          <m:rPr/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ascii="Cambria Math" w:hAnsi="Cambria Math"/>
                <w:sz w:val="24"/>
                <w:szCs w:val="24"/>
              </w:rPr>
              <m:t xml:space="preserve">  ×  </m:t>
            </m:r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4</m:t>
            </m:r>
            <m:r>
              <m:rPr/>
              <w:rPr>
                <w:rFonts w:ascii="Cambria Math" w:hAnsi="Cambria Math"/>
                <w:sz w:val="24"/>
                <w:szCs w:val="24"/>
              </w:rPr>
              <m:t>%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  <w:r>
        <w:rPr>
          <w:rFonts w:hint="eastAsia" w:ascii="宋体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 xml:space="preserve">             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ascii="宋体"/>
          <w:sz w:val="28"/>
          <w:szCs w:val="28"/>
        </w:rPr>
        <w:t xml:space="preserve">   </w:t>
      </w:r>
      <w:r>
        <w:rPr>
          <w:rFonts w:hint="eastAsia" w:ascii="宋体"/>
          <w:sz w:val="28"/>
          <w:szCs w:val="28"/>
        </w:rPr>
        <w:t>（</w:t>
      </w:r>
      <w:r>
        <w:rPr>
          <w:rFonts w:hint="eastAsia" w:ascii="宋体"/>
          <w:sz w:val="24"/>
          <w:szCs w:val="24"/>
        </w:rPr>
        <w:t>2</w:t>
      </w:r>
      <w:r>
        <w:rPr>
          <w:rFonts w:hint="eastAsia" w:ascii="宋体"/>
          <w:sz w:val="28"/>
          <w:szCs w:val="28"/>
        </w:rPr>
        <w:t>）</w:t>
      </w:r>
    </w:p>
    <w:p w14:paraId="26E9B599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各校准点气体标准物质相应的标准不确定度</w:t>
      </w:r>
      <w:r>
        <w:rPr>
          <w:i/>
          <w:iCs/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(</w:t>
      </w:r>
      <w:r>
        <w:rPr>
          <w:rFonts w:hint="eastAsia"/>
          <w:i/>
          <w:iCs/>
          <w:color w:val="000000"/>
          <w:sz w:val="24"/>
          <w:szCs w:val="24"/>
        </w:rPr>
        <w:t>x</w:t>
      </w:r>
      <w:r>
        <w:rPr>
          <w:iCs/>
          <w:color w:val="000000"/>
          <w:sz w:val="24"/>
          <w:szCs w:val="24"/>
          <w:vertAlign w:val="subscript"/>
        </w:rPr>
        <w:t>s</w:t>
      </w:r>
      <w:r>
        <w:rPr>
          <w:color w:val="000000"/>
          <w:sz w:val="24"/>
          <w:szCs w:val="24"/>
        </w:rPr>
        <w:t>)</w:t>
      </w:r>
      <w:r>
        <w:rPr>
          <w:rFonts w:hint="eastAsia"/>
          <w:color w:val="000000"/>
          <w:sz w:val="24"/>
          <w:szCs w:val="24"/>
        </w:rPr>
        <w:t>计算结果</w:t>
      </w:r>
      <w:r>
        <w:rPr>
          <w:rFonts w:hint="eastAsia" w:ascii="宋体" w:hAnsi="宋体" w:cs="宋体"/>
          <w:color w:val="000000"/>
          <w:sz w:val="24"/>
          <w:szCs w:val="24"/>
        </w:rPr>
        <w:t>见表1。</w:t>
      </w:r>
    </w:p>
    <w:p w14:paraId="6EE8746A">
      <w:pPr>
        <w:adjustRightInd w:val="0"/>
        <w:snapToGrid w:val="0"/>
        <w:spacing w:line="360" w:lineRule="auto"/>
        <w:ind w:firstLine="2108" w:firstLineChars="1000"/>
        <w:rPr>
          <w:rFonts w:ascii="宋体" w:hAnsi="宋体" w:cs="宋体"/>
          <w:b/>
          <w:bCs/>
          <w:color w:val="000000"/>
        </w:rPr>
      </w:pPr>
    </w:p>
    <w:p w14:paraId="15E828E9">
      <w:pPr>
        <w:adjustRightInd w:val="0"/>
        <w:snapToGrid w:val="0"/>
        <w:spacing w:line="360" w:lineRule="auto"/>
        <w:ind w:firstLine="2108" w:firstLineChars="1000"/>
        <w:rPr>
          <w:rFonts w:ascii="宋体" w:hAnsi="宋体" w:cs="宋体"/>
          <w:b/>
          <w:bCs/>
          <w:color w:val="000000"/>
        </w:rPr>
      </w:pPr>
    </w:p>
    <w:p w14:paraId="27D5ADB3">
      <w:pPr>
        <w:adjustRightInd w:val="0"/>
        <w:snapToGrid w:val="0"/>
        <w:spacing w:line="360" w:lineRule="auto"/>
        <w:ind w:firstLine="2108" w:firstLineChars="1000"/>
        <w:rPr>
          <w:rFonts w:ascii="宋体" w:hAnsi="宋体" w:cs="宋体"/>
          <w:b/>
          <w:bCs/>
          <w:color w:val="000000"/>
        </w:rPr>
      </w:pPr>
    </w:p>
    <w:p w14:paraId="22144F39">
      <w:pPr>
        <w:adjustRightInd w:val="0"/>
        <w:snapToGrid w:val="0"/>
        <w:spacing w:line="360" w:lineRule="auto"/>
        <w:ind w:firstLine="2108" w:firstLineChars="1000"/>
        <w:rPr>
          <w:rFonts w:ascii="宋体" w:hAnsi="宋体" w:cs="宋体"/>
          <w:b/>
          <w:bCs/>
          <w:color w:val="000000"/>
        </w:rPr>
      </w:pPr>
    </w:p>
    <w:p w14:paraId="491BD42F">
      <w:pPr>
        <w:adjustRightInd w:val="0"/>
        <w:snapToGrid w:val="0"/>
        <w:spacing w:line="360" w:lineRule="auto"/>
        <w:ind w:firstLine="2108" w:firstLineChars="1000"/>
        <w:rPr>
          <w:rFonts w:ascii="宋体" w:hAnsi="宋体" w:cs="宋体"/>
          <w:b/>
          <w:bCs/>
          <w:color w:val="000000"/>
        </w:rPr>
      </w:pPr>
    </w:p>
    <w:p w14:paraId="66C6EB6F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表1各校准点气体标准物质的标准不确定度</w:t>
      </w:r>
      <w:r>
        <w:rPr>
          <w:b/>
          <w:bCs/>
          <w:i/>
          <w:iCs/>
          <w:color w:val="000000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(</w:t>
      </w:r>
      <w:r>
        <w:rPr>
          <w:rFonts w:hint="eastAsia"/>
          <w:b/>
          <w:bCs/>
          <w:i/>
          <w:iCs/>
          <w:color w:val="000000"/>
          <w:sz w:val="24"/>
          <w:szCs w:val="24"/>
        </w:rPr>
        <w:t>x</w:t>
      </w:r>
      <w:r>
        <w:rPr>
          <w:b/>
          <w:bCs/>
          <w:iCs/>
          <w:color w:val="000000"/>
          <w:sz w:val="24"/>
          <w:szCs w:val="24"/>
          <w:vertAlign w:val="subscript"/>
        </w:rPr>
        <w:t>s</w:t>
      </w:r>
      <w:r>
        <w:rPr>
          <w:b/>
          <w:bCs/>
          <w:color w:val="000000"/>
          <w:sz w:val="24"/>
          <w:szCs w:val="24"/>
        </w:rPr>
        <w:t>)</w:t>
      </w:r>
    </w:p>
    <w:tbl>
      <w:tblPr>
        <w:tblStyle w:val="12"/>
        <w:tblW w:w="836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198"/>
        <w:gridCol w:w="3260"/>
      </w:tblGrid>
      <w:tr w14:paraId="0265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05" w:type="dxa"/>
            <w:vAlign w:val="center"/>
          </w:tcPr>
          <w:p w14:paraId="7842F4EF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测量范围</w:t>
            </w:r>
          </w:p>
          <w:p w14:paraId="3BBB7F71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t>µmol/mol</w:t>
            </w:r>
          </w:p>
        </w:tc>
        <w:tc>
          <w:tcPr>
            <w:tcW w:w="3198" w:type="dxa"/>
            <w:vAlign w:val="center"/>
          </w:tcPr>
          <w:p w14:paraId="2314ED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气体标准物质浓度值</w:t>
            </w:r>
          </w:p>
          <w:p w14:paraId="74E3D8E9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t>µmol/mol</w:t>
            </w:r>
          </w:p>
        </w:tc>
        <w:tc>
          <w:tcPr>
            <w:tcW w:w="3260" w:type="dxa"/>
          </w:tcPr>
          <w:p w14:paraId="64055CB3">
            <w:pPr>
              <w:adjustRightInd w:val="0"/>
              <w:snapToGrid w:val="0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i/>
                <w:iCs/>
                <w:color w:val="000000"/>
                <w:sz w:val="24"/>
                <w:szCs w:val="24"/>
              </w:rPr>
              <w:t>x</w:t>
            </w:r>
            <w:r>
              <w:rPr>
                <w:iCs/>
                <w:color w:val="000000"/>
                <w:sz w:val="24"/>
                <w:szCs w:val="24"/>
                <w:vertAlign w:val="subscript"/>
              </w:rPr>
              <w:t>s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CC23B2F">
            <w:pPr>
              <w:adjustRightInd w:val="0"/>
              <w:snapToGrid w:val="0"/>
              <w:jc w:val="center"/>
            </w:pPr>
            <w:r>
              <w:t>µmol/mol</w:t>
            </w:r>
          </w:p>
        </w:tc>
      </w:tr>
      <w:tr w14:paraId="608B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05" w:type="dxa"/>
            <w:vMerge w:val="restart"/>
            <w:vAlign w:val="center"/>
          </w:tcPr>
          <w:p w14:paraId="096558A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cs="宋体"/>
              </w:rPr>
              <w:t>0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ascii="宋体" w:cs="宋体"/>
              </w:rPr>
              <w:t>0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198" w:type="dxa"/>
            <w:vAlign w:val="center"/>
          </w:tcPr>
          <w:p w14:paraId="1005A3B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cs="宋体"/>
              </w:rPr>
              <w:t>0</w:t>
            </w:r>
            <w:r>
              <w:rPr>
                <w:rFonts w:ascii="宋体" w:cs="宋体"/>
              </w:rPr>
              <w:t>.2</w:t>
            </w:r>
          </w:p>
        </w:tc>
        <w:tc>
          <w:tcPr>
            <w:tcW w:w="3260" w:type="dxa"/>
          </w:tcPr>
          <w:p w14:paraId="4366F9DA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0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val="en-US" w:eastAsia="zh-CN"/>
              </w:rPr>
              <w:t>20</w:t>
            </w:r>
          </w:p>
        </w:tc>
      </w:tr>
      <w:tr w14:paraId="0EEE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05" w:type="dxa"/>
            <w:vMerge w:val="continue"/>
            <w:vAlign w:val="center"/>
          </w:tcPr>
          <w:p w14:paraId="7323F289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198" w:type="dxa"/>
            <w:vAlign w:val="center"/>
          </w:tcPr>
          <w:p w14:paraId="451C6F33">
            <w:pPr>
              <w:spacing w:line="36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25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3260" w:type="dxa"/>
          </w:tcPr>
          <w:p w14:paraId="6EE2D410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0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val="en-US" w:eastAsia="zh-CN"/>
              </w:rPr>
              <w:t>51</w:t>
            </w:r>
          </w:p>
        </w:tc>
      </w:tr>
      <w:tr w14:paraId="77F6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05" w:type="dxa"/>
            <w:vMerge w:val="continue"/>
            <w:vAlign w:val="center"/>
          </w:tcPr>
          <w:p w14:paraId="678639E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198" w:type="dxa"/>
            <w:vAlign w:val="center"/>
          </w:tcPr>
          <w:p w14:paraId="2367C97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cs="宋体"/>
              </w:rPr>
              <w:t>.0</w:t>
            </w:r>
          </w:p>
        </w:tc>
        <w:tc>
          <w:tcPr>
            <w:tcW w:w="3260" w:type="dxa"/>
          </w:tcPr>
          <w:p w14:paraId="5FA92B81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0.80</w:t>
            </w:r>
          </w:p>
        </w:tc>
      </w:tr>
    </w:tbl>
    <w:p w14:paraId="54188EB9">
      <w:pPr>
        <w:adjustRightInd w:val="0"/>
        <w:snapToGrid w:val="0"/>
        <w:spacing w:before="156" w:beforeLines="50" w:line="360" w:lineRule="auto"/>
        <w:rPr>
          <w:rFonts w:ascii="宋体"/>
          <w:sz w:val="24"/>
        </w:rPr>
      </w:pPr>
      <w:r>
        <w:rPr>
          <w:rFonts w:ascii="宋体" w:hAnsi="宋体" w:cs="宋体"/>
          <w:sz w:val="24"/>
          <w:szCs w:val="24"/>
        </w:rPr>
        <w:t xml:space="preserve">4.2  </w:t>
      </w:r>
      <w:r>
        <w:rPr>
          <w:rFonts w:hint="eastAsia" w:ascii="宋体" w:hAnsi="宋体"/>
          <w:sz w:val="24"/>
        </w:rPr>
        <w:t>测量重复性引入的</w:t>
      </w:r>
      <w:r>
        <w:rPr>
          <w:rFonts w:hint="eastAsia"/>
          <w:sz w:val="24"/>
        </w:rPr>
        <w:t>标准不确定度</w:t>
      </w:r>
      <m:oMath>
        <m:r>
          <m:rPr/>
          <w:rPr>
            <w:rFonts w:ascii="Cambria Math"/>
            <w:sz w:val="24"/>
          </w:rPr>
          <m:t>u(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/>
              <w:rPr>
                <w:rFonts w:asci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bar>
        <m:r>
          <m:rPr/>
          <w:rPr>
            <w:rFonts w:ascii="Cambria Math"/>
            <w:sz w:val="24"/>
          </w:rPr>
          <m:t>)</m:t>
        </m:r>
      </m:oMath>
    </w:p>
    <w:p w14:paraId="4D28333C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对于测量范围为(</w:t>
      </w:r>
      <w:r>
        <w:rPr>
          <w:rFonts w:asci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asci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</w:rPr>
        <w:t>)</w:t>
      </w:r>
      <w:r>
        <w:rPr>
          <w:sz w:val="24"/>
          <w:szCs w:val="24"/>
        </w:rPr>
        <w:t>µmol/mol</w:t>
      </w:r>
      <w:r>
        <w:rPr>
          <w:rFonts w:hint="eastAsia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</w:rPr>
        <w:t>仪器依次通入浓度约为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10.2</w:t>
      </w:r>
      <w:r>
        <w:rPr>
          <w:sz w:val="24"/>
          <w:szCs w:val="24"/>
        </w:rPr>
        <w:t>µmol/mol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25.3</w:t>
      </w:r>
      <w:r>
        <w:rPr>
          <w:sz w:val="24"/>
          <w:szCs w:val="24"/>
        </w:rPr>
        <w:t>µmol/mol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40.0</w:t>
      </w:r>
      <w:r>
        <w:rPr>
          <w:sz w:val="24"/>
          <w:szCs w:val="24"/>
        </w:rPr>
        <w:t>µmol/mol</w:t>
      </w:r>
      <w:r>
        <w:rPr>
          <w:rFonts w:hint="eastAsia" w:ascii="宋体" w:hAnsi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硅烷</w:t>
      </w:r>
      <w:r>
        <w:rPr>
          <w:rFonts w:hint="eastAsia" w:ascii="宋体" w:hAnsi="宋体" w:cs="宋体"/>
          <w:sz w:val="24"/>
          <w:szCs w:val="24"/>
        </w:rPr>
        <w:t>气体标准物质，重复测量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hint="eastAsia" w:ascii="宋体" w:hAnsi="宋体" w:cs="宋体"/>
          <w:sz w:val="24"/>
          <w:szCs w:val="24"/>
        </w:rPr>
        <w:t>次。各校准点测量结果见表</w:t>
      </w:r>
      <w:r>
        <w:rPr>
          <w:rFonts w:ascii="宋体" w:hAnsi="宋体" w:cs="宋体"/>
          <w:sz w:val="24"/>
          <w:szCs w:val="24"/>
        </w:rPr>
        <w:t>2</w:t>
      </w:r>
    </w:p>
    <w:p w14:paraId="1A427172">
      <w:pPr>
        <w:adjustRightInd w:val="0"/>
        <w:snapToGrid w:val="0"/>
        <w:spacing w:line="360" w:lineRule="auto"/>
        <w:jc w:val="center"/>
      </w:pPr>
      <w:r>
        <w:rPr>
          <w:rFonts w:hint="eastAsia" w:ascii="黑体" w:hAnsi="黑体" w:eastAsia="黑体" w:cs="黑体"/>
        </w:rPr>
        <w:t>表</w:t>
      </w:r>
      <w:r>
        <w:rPr>
          <w:rFonts w:ascii="黑体" w:hAnsi="黑体" w:eastAsia="黑体" w:cs="黑体"/>
        </w:rPr>
        <w:t xml:space="preserve">2 </w:t>
      </w:r>
      <w:r>
        <w:rPr>
          <w:rFonts w:hint="eastAsia" w:ascii="黑体" w:hAnsi="黑体" w:eastAsia="黑体" w:cs="黑体"/>
        </w:rPr>
        <w:t>各校准点测量结果</w:t>
      </w:r>
    </w:p>
    <w:tbl>
      <w:tblPr>
        <w:tblStyle w:val="12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2"/>
      </w:tblGrid>
      <w:tr w14:paraId="6EDE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vMerge w:val="restart"/>
            <w:vAlign w:val="center"/>
          </w:tcPr>
          <w:p w14:paraId="5001C5FC">
            <w:pPr>
              <w:adjustRightInd w:val="0"/>
              <w:snapToGrid w:val="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测量范围</w:t>
            </w:r>
            <w:r>
              <w:rPr>
                <w:color w:val="auto"/>
              </w:rPr>
              <w:t>µmol/mol</w:t>
            </w:r>
          </w:p>
          <w:p w14:paraId="6F1525B1">
            <w:pPr>
              <w:adjustRightInd w:val="0"/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   </w:t>
            </w:r>
          </w:p>
        </w:tc>
        <w:tc>
          <w:tcPr>
            <w:tcW w:w="1275" w:type="dxa"/>
            <w:vMerge w:val="restart"/>
            <w:vAlign w:val="center"/>
          </w:tcPr>
          <w:p w14:paraId="1953ECA4">
            <w:pPr>
              <w:adjustRightInd w:val="0"/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气体标准物质浓度值</w:t>
            </w:r>
            <w:r>
              <w:rPr>
                <w:color w:val="auto"/>
              </w:rPr>
              <w:t>µmol/mol</w:t>
            </w:r>
          </w:p>
        </w:tc>
        <w:tc>
          <w:tcPr>
            <w:tcW w:w="7081" w:type="dxa"/>
            <w:gridSpan w:val="10"/>
            <w:vAlign w:val="center"/>
          </w:tcPr>
          <w:p w14:paraId="43AA147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示值</w:t>
            </w:r>
            <w:r>
              <w:rPr>
                <w:color w:val="auto"/>
              </w:rPr>
              <w:t>µmol/mol</w:t>
            </w:r>
          </w:p>
        </w:tc>
      </w:tr>
      <w:tr w14:paraId="772C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35" w:type="dxa"/>
            <w:vMerge w:val="continue"/>
            <w:vAlign w:val="center"/>
          </w:tcPr>
          <w:p w14:paraId="77D43F7F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494E9FE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7FE17CAD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1</w:t>
            </w:r>
          </w:p>
        </w:tc>
        <w:tc>
          <w:tcPr>
            <w:tcW w:w="709" w:type="dxa"/>
            <w:vAlign w:val="center"/>
          </w:tcPr>
          <w:p w14:paraId="0878FD06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2</w:t>
            </w:r>
          </w:p>
        </w:tc>
        <w:tc>
          <w:tcPr>
            <w:tcW w:w="709" w:type="dxa"/>
            <w:vAlign w:val="center"/>
          </w:tcPr>
          <w:p w14:paraId="248F928B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3</w:t>
            </w:r>
          </w:p>
        </w:tc>
        <w:tc>
          <w:tcPr>
            <w:tcW w:w="708" w:type="dxa"/>
            <w:vAlign w:val="center"/>
          </w:tcPr>
          <w:p w14:paraId="32F59D4A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4</w:t>
            </w:r>
          </w:p>
        </w:tc>
        <w:tc>
          <w:tcPr>
            <w:tcW w:w="709" w:type="dxa"/>
            <w:vAlign w:val="center"/>
          </w:tcPr>
          <w:p w14:paraId="139FDB9B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5</w:t>
            </w:r>
          </w:p>
        </w:tc>
        <w:tc>
          <w:tcPr>
            <w:tcW w:w="709" w:type="dxa"/>
            <w:vAlign w:val="center"/>
          </w:tcPr>
          <w:p w14:paraId="76B873DD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6</w:t>
            </w:r>
          </w:p>
        </w:tc>
        <w:tc>
          <w:tcPr>
            <w:tcW w:w="709" w:type="dxa"/>
            <w:vAlign w:val="center"/>
          </w:tcPr>
          <w:p w14:paraId="1D41EC15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7</w:t>
            </w:r>
          </w:p>
        </w:tc>
        <w:tc>
          <w:tcPr>
            <w:tcW w:w="708" w:type="dxa"/>
            <w:vAlign w:val="center"/>
          </w:tcPr>
          <w:p w14:paraId="050AB2C8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8</w:t>
            </w:r>
          </w:p>
        </w:tc>
        <w:tc>
          <w:tcPr>
            <w:tcW w:w="709" w:type="dxa"/>
            <w:vAlign w:val="center"/>
          </w:tcPr>
          <w:p w14:paraId="06794B45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9</w:t>
            </w:r>
          </w:p>
        </w:tc>
        <w:tc>
          <w:tcPr>
            <w:tcW w:w="702" w:type="dxa"/>
            <w:vAlign w:val="center"/>
          </w:tcPr>
          <w:p w14:paraId="76495AC6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10</w:t>
            </w:r>
          </w:p>
        </w:tc>
      </w:tr>
      <w:tr w14:paraId="6CCA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5" w:type="dxa"/>
            <w:vMerge w:val="restart"/>
            <w:vAlign w:val="center"/>
          </w:tcPr>
          <w:p w14:paraId="79A30CDC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ascii="宋体"/>
                <w:color w:val="auto"/>
              </w:rPr>
              <w:t>(0</w:t>
            </w:r>
            <w:r>
              <w:rPr>
                <w:rFonts w:hint="eastAsia" w:ascii="宋体" w:hAnsi="宋体" w:cs="宋体"/>
                <w:color w:val="auto"/>
              </w:rPr>
              <w:t>～1</w:t>
            </w:r>
            <w:r>
              <w:rPr>
                <w:rFonts w:ascii="宋体" w:hAnsi="宋体" w:cs="宋体"/>
                <w:color w:val="auto"/>
              </w:rPr>
              <w:t>00</w:t>
            </w:r>
            <w:r>
              <w:rPr>
                <w:rFonts w:ascii="宋体"/>
                <w:color w:val="auto"/>
              </w:rPr>
              <w:t>)</w:t>
            </w:r>
          </w:p>
        </w:tc>
        <w:tc>
          <w:tcPr>
            <w:tcW w:w="1275" w:type="dxa"/>
            <w:vAlign w:val="center"/>
          </w:tcPr>
          <w:p w14:paraId="7F315206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auto"/>
              </w:rPr>
              <w:t>0</w:t>
            </w:r>
            <w:r>
              <w:rPr>
                <w:rFonts w:ascii="宋体" w:cs="宋体"/>
                <w:color w:val="auto"/>
              </w:rPr>
              <w:t>.2</w:t>
            </w:r>
          </w:p>
        </w:tc>
        <w:tc>
          <w:tcPr>
            <w:tcW w:w="709" w:type="dxa"/>
            <w:vAlign w:val="center"/>
          </w:tcPr>
          <w:p w14:paraId="2224A4F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1.7</w:t>
            </w:r>
          </w:p>
        </w:tc>
        <w:tc>
          <w:tcPr>
            <w:tcW w:w="709" w:type="dxa"/>
            <w:vAlign w:val="center"/>
          </w:tcPr>
          <w:p w14:paraId="72DA850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1.0</w:t>
            </w:r>
          </w:p>
        </w:tc>
        <w:tc>
          <w:tcPr>
            <w:tcW w:w="709" w:type="dxa"/>
            <w:vAlign w:val="center"/>
          </w:tcPr>
          <w:p w14:paraId="442D64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1.1</w:t>
            </w:r>
          </w:p>
        </w:tc>
        <w:tc>
          <w:tcPr>
            <w:tcW w:w="708" w:type="dxa"/>
            <w:vAlign w:val="center"/>
          </w:tcPr>
          <w:p w14:paraId="1C6E08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1.5</w:t>
            </w:r>
          </w:p>
        </w:tc>
        <w:tc>
          <w:tcPr>
            <w:tcW w:w="709" w:type="dxa"/>
            <w:vAlign w:val="center"/>
          </w:tcPr>
          <w:p w14:paraId="4451EC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1.5</w:t>
            </w:r>
          </w:p>
        </w:tc>
        <w:tc>
          <w:tcPr>
            <w:tcW w:w="709" w:type="dxa"/>
            <w:vAlign w:val="center"/>
          </w:tcPr>
          <w:p w14:paraId="15ED29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1.5</w:t>
            </w:r>
          </w:p>
        </w:tc>
        <w:tc>
          <w:tcPr>
            <w:tcW w:w="709" w:type="dxa"/>
            <w:vAlign w:val="center"/>
          </w:tcPr>
          <w:p w14:paraId="464EAD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1.7</w:t>
            </w:r>
          </w:p>
        </w:tc>
        <w:tc>
          <w:tcPr>
            <w:tcW w:w="708" w:type="dxa"/>
            <w:vAlign w:val="center"/>
          </w:tcPr>
          <w:p w14:paraId="5368A6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1.8</w:t>
            </w:r>
          </w:p>
        </w:tc>
        <w:tc>
          <w:tcPr>
            <w:tcW w:w="709" w:type="dxa"/>
            <w:vAlign w:val="center"/>
          </w:tcPr>
          <w:p w14:paraId="70B6238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1.2</w:t>
            </w:r>
          </w:p>
        </w:tc>
        <w:tc>
          <w:tcPr>
            <w:tcW w:w="702" w:type="dxa"/>
            <w:vAlign w:val="center"/>
          </w:tcPr>
          <w:p w14:paraId="167DA2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1.0</w:t>
            </w:r>
          </w:p>
        </w:tc>
      </w:tr>
      <w:tr w14:paraId="30AD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5" w:type="dxa"/>
            <w:vMerge w:val="continue"/>
            <w:vAlign w:val="center"/>
          </w:tcPr>
          <w:p w14:paraId="415F33C3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7C51A092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25</w:t>
            </w:r>
            <w:r>
              <w:rPr>
                <w:rFonts w:ascii="宋体" w:hAnsi="宋体" w:cs="宋体"/>
                <w:color w:val="auto"/>
              </w:rPr>
              <w:t>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6289EDF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26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.5</w:t>
            </w:r>
          </w:p>
        </w:tc>
        <w:tc>
          <w:tcPr>
            <w:tcW w:w="709" w:type="dxa"/>
            <w:vAlign w:val="center"/>
          </w:tcPr>
          <w:p w14:paraId="607BBA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26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.6</w:t>
            </w:r>
          </w:p>
        </w:tc>
        <w:tc>
          <w:tcPr>
            <w:tcW w:w="709" w:type="dxa"/>
            <w:vAlign w:val="center"/>
          </w:tcPr>
          <w:p w14:paraId="05B1BE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26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.7</w:t>
            </w:r>
          </w:p>
        </w:tc>
        <w:tc>
          <w:tcPr>
            <w:tcW w:w="708" w:type="dxa"/>
            <w:vAlign w:val="center"/>
          </w:tcPr>
          <w:p w14:paraId="0EE201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26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.1</w:t>
            </w:r>
          </w:p>
        </w:tc>
        <w:tc>
          <w:tcPr>
            <w:tcW w:w="709" w:type="dxa"/>
            <w:vAlign w:val="center"/>
          </w:tcPr>
          <w:p w14:paraId="0F5FAEE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26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.1</w:t>
            </w:r>
          </w:p>
        </w:tc>
        <w:tc>
          <w:tcPr>
            <w:tcW w:w="709" w:type="dxa"/>
            <w:vAlign w:val="center"/>
          </w:tcPr>
          <w:p w14:paraId="64C5272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26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.2</w:t>
            </w:r>
          </w:p>
        </w:tc>
        <w:tc>
          <w:tcPr>
            <w:tcW w:w="709" w:type="dxa"/>
            <w:vAlign w:val="center"/>
          </w:tcPr>
          <w:p w14:paraId="7A7D256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26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.3</w:t>
            </w:r>
          </w:p>
        </w:tc>
        <w:tc>
          <w:tcPr>
            <w:tcW w:w="708" w:type="dxa"/>
            <w:vAlign w:val="center"/>
          </w:tcPr>
          <w:p w14:paraId="2E1150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26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.6</w:t>
            </w:r>
          </w:p>
        </w:tc>
        <w:tc>
          <w:tcPr>
            <w:tcW w:w="709" w:type="dxa"/>
            <w:vAlign w:val="center"/>
          </w:tcPr>
          <w:p w14:paraId="694C844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27.1</w:t>
            </w:r>
          </w:p>
        </w:tc>
        <w:tc>
          <w:tcPr>
            <w:tcW w:w="702" w:type="dxa"/>
            <w:vAlign w:val="center"/>
          </w:tcPr>
          <w:p w14:paraId="377C253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27.0</w:t>
            </w:r>
          </w:p>
        </w:tc>
      </w:tr>
      <w:tr w14:paraId="03DE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5" w:type="dxa"/>
            <w:vMerge w:val="continue"/>
            <w:vAlign w:val="center"/>
          </w:tcPr>
          <w:p w14:paraId="03D0DAFE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7E6DF9CB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</w:rPr>
              <w:t>0</w:t>
            </w:r>
            <w:r>
              <w:rPr>
                <w:rFonts w:ascii="宋体" w:cs="宋体"/>
                <w:color w:val="auto"/>
              </w:rPr>
              <w:t>.0</w:t>
            </w:r>
          </w:p>
        </w:tc>
        <w:tc>
          <w:tcPr>
            <w:tcW w:w="709" w:type="dxa"/>
            <w:vAlign w:val="center"/>
          </w:tcPr>
          <w:p w14:paraId="5C14D1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42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.6</w:t>
            </w:r>
          </w:p>
        </w:tc>
        <w:tc>
          <w:tcPr>
            <w:tcW w:w="709" w:type="dxa"/>
            <w:vAlign w:val="center"/>
          </w:tcPr>
          <w:p w14:paraId="25B396B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42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.5</w:t>
            </w:r>
          </w:p>
        </w:tc>
        <w:tc>
          <w:tcPr>
            <w:tcW w:w="709" w:type="dxa"/>
            <w:vAlign w:val="center"/>
          </w:tcPr>
          <w:p w14:paraId="75A9F3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42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.6</w:t>
            </w:r>
          </w:p>
        </w:tc>
        <w:tc>
          <w:tcPr>
            <w:tcW w:w="708" w:type="dxa"/>
            <w:vAlign w:val="center"/>
          </w:tcPr>
          <w:p w14:paraId="13E79E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42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.9</w:t>
            </w:r>
          </w:p>
        </w:tc>
        <w:tc>
          <w:tcPr>
            <w:tcW w:w="709" w:type="dxa"/>
            <w:vAlign w:val="center"/>
          </w:tcPr>
          <w:p w14:paraId="37B394C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42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7F5F70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42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.4</w:t>
            </w:r>
          </w:p>
        </w:tc>
        <w:tc>
          <w:tcPr>
            <w:tcW w:w="709" w:type="dxa"/>
            <w:vAlign w:val="center"/>
          </w:tcPr>
          <w:p w14:paraId="0B6079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42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.8</w:t>
            </w:r>
          </w:p>
        </w:tc>
        <w:tc>
          <w:tcPr>
            <w:tcW w:w="708" w:type="dxa"/>
            <w:vAlign w:val="center"/>
          </w:tcPr>
          <w:p w14:paraId="0F311B8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43.1</w:t>
            </w:r>
          </w:p>
        </w:tc>
        <w:tc>
          <w:tcPr>
            <w:tcW w:w="709" w:type="dxa"/>
            <w:vAlign w:val="center"/>
          </w:tcPr>
          <w:p w14:paraId="69FA2C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42</w:t>
            </w:r>
            <w:r>
              <w:rPr>
                <w:rFonts w:ascii="宋体" w:hAnsi="宋体" w:cs="宋体"/>
                <w:color w:val="auto"/>
                <w:kern w:val="0"/>
                <w:lang w:bidi="ar"/>
              </w:rPr>
              <w:t>.8</w:t>
            </w:r>
          </w:p>
        </w:tc>
        <w:tc>
          <w:tcPr>
            <w:tcW w:w="702" w:type="dxa"/>
            <w:vAlign w:val="center"/>
          </w:tcPr>
          <w:p w14:paraId="3D83C9B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 w:bidi="ar"/>
              </w:rPr>
              <w:t>43.2</w:t>
            </w:r>
          </w:p>
        </w:tc>
      </w:tr>
    </w:tbl>
    <w:p w14:paraId="02A03318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各校准点分别按式(3)计算实验标准偏差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hint="default" w:ascii="Times New Roman" w:hAnsi="Times New Roman" w:cs="Times New Roman"/>
          <w:sz w:val="24"/>
        </w:rPr>
        <w:t>各校准点相应的</w:t>
      </w:r>
      <w:r>
        <w:rPr>
          <w:rFonts w:hint="default" w:ascii="Times New Roman" w:hAnsi="Times New Roman" w:cs="Times New Roman"/>
          <w:sz w:val="24"/>
          <w:szCs w:val="24"/>
        </w:rPr>
        <w:t>标准不确定度可按式(4)计算</w:t>
      </w:r>
    </w:p>
    <w:p w14:paraId="56D4CE06">
      <w:pPr>
        <w:spacing w:line="360" w:lineRule="auto"/>
        <w:jc w:val="right"/>
        <w:rPr>
          <w:rFonts w:ascii="宋体"/>
          <w:sz w:val="24"/>
          <w:szCs w:val="24"/>
        </w:rPr>
      </w:pPr>
      <m:oMath>
        <m:r>
          <m:rPr/>
          <w:rPr>
            <w:rFonts w:ascii="Cambria Math" w:hAnsi="Cambria Math"/>
            <w:sz w:val="24"/>
            <w:szCs w:val="24"/>
          </w:rPr>
          <m:t xml:space="preserve"> </m:t>
        </m:r>
        <m:r>
          <m:rPr/>
          <w:rPr>
            <w:rFonts w:ascii="Cambria Math" w:hAnsi="宋体" w:cs="宋体"/>
            <w:sz w:val="24"/>
            <w:szCs w:val="24"/>
          </w:rPr>
          <m:t>s=</m:t>
        </m:r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g>
          <m:e>
            <m:f>
              <m:fPr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fPr>
              <m:num>
                <m:r>
                  <m:rPr/>
                  <w:rPr>
                    <w:rFonts w:ascii="Cambria Math" w:hAnsi="Cambria Math" w:cs="宋体"/>
                    <w:sz w:val="24"/>
                    <w:szCs w:val="24"/>
                  </w:rPr>
                  <m:t xml:space="preserve">  </m:t>
                </m:r>
                <m:nary>
                  <m:naryPr>
                    <m:chr m:val="∑"/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/>
                      <w:rPr>
                        <w:rFonts w:ascii="Cambria Math" w:hAnsi="宋体" w:cs="宋体"/>
                        <w:sz w:val="24"/>
                        <w:szCs w:val="24"/>
                      </w:rPr>
                      <m:t>i=1</m:t>
                    </m:r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sub>
                  <m:sup>
                    <m:r>
                      <m:rPr/>
                      <w:rPr>
                        <w:rFonts w:ascii="Cambria Math" w:hAnsi="宋体" w:cs="宋体"/>
                        <w:sz w:val="24"/>
                        <w:szCs w:val="24"/>
                      </w:rPr>
                      <m:t>10</m:t>
                    </m:r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sup>
                  <m:e>
                    <m:r>
                      <m:rPr/>
                      <w:rPr>
                        <w:rFonts w:ascii="Cambria Math" w:hAnsi="宋体" w:cs="宋体"/>
                        <w:sz w:val="24"/>
                        <w:szCs w:val="24"/>
                      </w:rPr>
                      <m:t xml:space="preserve">( 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宋体" w:cs="宋体"/>
                            <w:sz w:val="24"/>
                            <w:szCs w:val="24"/>
                          </w:rPr>
                          <m:t>x</m:t>
                        </m: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宋体" w:cs="宋体"/>
                            <w:sz w:val="24"/>
                            <w:szCs w:val="24"/>
                          </w:rPr>
                          <m:t>i</m:t>
                        </m: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szCs w:val="24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微软雅黑" w:eastAsia="微软雅黑" w:cs="微软雅黑"/>
                        <w:sz w:val="24"/>
                        <w:szCs w:val="24"/>
                      </w:rPr>
                      <m:t xml:space="preserve"> </m:t>
                    </m:r>
                    <m:r>
                      <m:rPr/>
                      <w:rPr>
                        <w:rFonts w:ascii="微软雅黑" w:hAnsi="微软雅黑" w:eastAsia="微软雅黑" w:cs="微软雅黑"/>
                        <w:sz w:val="24"/>
                        <w:szCs w:val="24"/>
                      </w:rPr>
                      <m:t>−</m:t>
                    </m:r>
                    <m:r>
                      <m:rPr/>
                      <w:rPr>
                        <w:rFonts w:ascii="Cambria Math" w:hAnsi="微软雅黑" w:eastAsia="微软雅黑" w:cs="微软雅黑"/>
                        <w:sz w:val="24"/>
                        <w:szCs w:val="24"/>
                      </w:rPr>
                      <m:t xml:space="preserve"> </m:t>
                    </m:r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m:rPr/>
                          <w:rPr>
                            <w:rFonts w:ascii="Cambria Math"/>
                            <w:sz w:val="24"/>
                            <w:szCs w:val="24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bar>
                    <m:sSup>
                      <m:sSup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宋体" w:cs="宋体"/>
                            <w:sz w:val="24"/>
                            <w:szCs w:val="24"/>
                          </w:rPr>
                          <m:t xml:space="preserve"> )</m:t>
                        </m: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宋体" w:cs="宋体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szCs w:val="24"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 w:cs="宋体"/>
                        <w:sz w:val="24"/>
                        <w:szCs w:val="24"/>
                      </w:rPr>
                      <m:t xml:space="preserve">    </m:t>
                    </m:r>
                    <m:ctrlPr>
                      <w:rPr>
                        <w:rFonts w:ascii="Cambria Math" w:hAnsi="Cambria Math" w:cs="宋体"/>
                        <w:i/>
                        <w:sz w:val="24"/>
                        <w:szCs w:val="24"/>
                      </w:rPr>
                    </m:ctrlPr>
                  </m:e>
                </m:nary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num>
              <m:den>
                <m:r>
                  <m:rPr/>
                  <w:rPr>
                    <w:rFonts w:ascii="Cambria Math" w:hAnsi="宋体" w:cs="宋体"/>
                    <w:sz w:val="24"/>
                    <w:szCs w:val="24"/>
                  </w:rPr>
                  <m:t>10</m:t>
                </m:r>
                <m:r>
                  <m:rPr/>
                  <w:rPr>
                    <w:rFonts w:ascii="微软雅黑" w:hAnsi="微软雅黑" w:eastAsia="微软雅黑" w:cs="微软雅黑"/>
                    <w:sz w:val="24"/>
                    <w:szCs w:val="24"/>
                  </w:rPr>
                  <m:t>−</m:t>
                </m:r>
                <m:r>
                  <m:rPr/>
                  <w:rPr>
                    <w:rFonts w:ascii="Cambria Math" w:hAnsi="宋体" w:cs="宋体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rad>
      </m:oMath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 QUOTE </w:instrText>
      </w:r>
      <w:r>
        <w:drawing>
          <wp:inline distT="0" distB="0" distL="0" distR="0">
            <wp:extent cx="1715770" cy="1009650"/>
            <wp:effectExtent l="0" t="0" r="0" b="0"/>
            <wp:docPr id="45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cs="宋体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cs="宋体"/>
          <w:sz w:val="24"/>
          <w:szCs w:val="24"/>
        </w:rPr>
        <w:t>(3)</w:t>
      </w:r>
    </w:p>
    <w:p w14:paraId="3CF09FC3">
      <w:pPr>
        <w:spacing w:line="360" w:lineRule="auto"/>
        <w:jc w:val="right"/>
        <w:rPr>
          <w:rFonts w:ascii="宋体"/>
          <w:sz w:val="24"/>
          <w:szCs w:val="24"/>
        </w:rPr>
      </w:pPr>
      <m:oMath>
        <m:r>
          <m:rPr>
            <m:nor/>
          </m:rPr>
          <w:rPr>
            <w:rFonts w:hint="default" w:ascii="Times New Roman" w:hAnsi="Times New Roman" w:cs="Times New Roman"/>
            <w:i/>
            <w:sz w:val="24"/>
            <w:szCs w:val="24"/>
          </w:rPr>
          <m:t>u</m:t>
        </m:r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sz w:val="24"/>
            <w:szCs w:val="24"/>
          </w:rPr>
          <m:t>(</m:t>
        </m:r>
        <m:bar>
          <m:barPr>
            <m:pos m:val="top"/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e>
        </m:bar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sz w:val="24"/>
            <w:szCs w:val="24"/>
          </w:rPr>
          <m:t>)=</m:t>
        </m:r>
        <m:f>
          <m:f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sz w:val="24"/>
                <w:szCs w:val="24"/>
              </w:rPr>
              <m:t xml:space="preserve">  </m:t>
            </m:r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4"/>
                <w:szCs w:val="24"/>
              </w:rPr>
              <m:t>s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sz w:val="24"/>
                <w:szCs w:val="24"/>
              </w:rPr>
              <m:t xml:space="preserve">  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</m:ctrlPr>
              </m:deg>
              <m:e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  <w:sz w:val="24"/>
                    <w:szCs w:val="24"/>
                  </w:rPr>
                  <m:t>n</m:t>
                </m:r>
                <m:ctrl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den>
        </m:f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sz w:val="24"/>
            <w:szCs w:val="24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sz w:val="24"/>
                <w:szCs w:val="24"/>
              </w:rPr>
              <m:t xml:space="preserve">  </m:t>
            </m:r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4"/>
                <w:szCs w:val="24"/>
              </w:rPr>
              <m:t>s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  <w:sz w:val="24"/>
                    <w:szCs w:val="24"/>
                  </w:rPr>
                  <m:t>3</m:t>
                </m:r>
                <m:ctrl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</m:ctrlPr>
              </m:e>
            </m:rad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sz w:val="24"/>
                <w:szCs w:val="24"/>
              </w:rPr>
              <m:t xml:space="preserve">  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den>
        </m:f>
      </m:oMath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</w:t>
      </w: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 QUOTE </w:instrText>
      </w:r>
      <w:r>
        <w:drawing>
          <wp:inline distT="0" distB="0" distL="0" distR="0">
            <wp:extent cx="1466850" cy="361950"/>
            <wp:effectExtent l="0" t="0" r="0" b="0"/>
            <wp:docPr id="47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/>
          <w:sz w:val="24"/>
          <w:szCs w:val="24"/>
        </w:rPr>
        <w:t xml:space="preserve">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(4)</w:t>
      </w:r>
    </w:p>
    <w:p w14:paraId="762DD5AD">
      <w:pPr>
        <w:spacing w:line="360" w:lineRule="auto"/>
        <w:jc w:val="right"/>
        <w:rPr>
          <w:rFonts w:ascii="宋体"/>
        </w:rPr>
      </w:pPr>
      <w:r>
        <w:rPr>
          <w:rFonts w:hint="eastAsia" w:ascii="仿宋" w:hAnsi="仿宋" w:eastAsia="仿宋"/>
        </w:rPr>
        <w:t>注：本规范规定</w:t>
      </w:r>
      <w:r>
        <w:rPr>
          <w:rFonts w:ascii="仿宋" w:hAnsi="仿宋" w:eastAsia="仿宋"/>
        </w:rPr>
        <w:t xml:space="preserve">, </w:t>
      </w:r>
      <w:r>
        <w:rPr>
          <w:rFonts w:hint="eastAsia" w:ascii="仿宋" w:hAnsi="仿宋" w:eastAsia="仿宋"/>
        </w:rPr>
        <w:t>每个校准点</w:t>
      </w:r>
      <w:r>
        <w:rPr>
          <w:rFonts w:hint="eastAsia" w:ascii="仿宋" w:hAnsi="仿宋" w:eastAsia="仿宋"/>
          <w:kern w:val="0"/>
        </w:rPr>
        <w:t>重复测量</w:t>
      </w:r>
      <w:r>
        <w:rPr>
          <w:rFonts w:ascii="仿宋" w:hAnsi="仿宋" w:eastAsia="仿宋"/>
          <w:kern w:val="0"/>
        </w:rPr>
        <w:t>3</w:t>
      </w:r>
      <w:r>
        <w:rPr>
          <w:rFonts w:hint="eastAsia" w:ascii="仿宋" w:hAnsi="仿宋" w:eastAsia="仿宋"/>
          <w:kern w:val="0"/>
        </w:rPr>
        <w:t>次，取</w:t>
      </w:r>
      <w:r>
        <w:rPr>
          <w:rFonts w:ascii="仿宋" w:hAnsi="仿宋" w:eastAsia="仿宋"/>
          <w:kern w:val="0"/>
        </w:rPr>
        <w:t>3</w:t>
      </w:r>
      <w:r>
        <w:rPr>
          <w:rFonts w:hint="eastAsia" w:ascii="仿宋" w:hAnsi="仿宋" w:eastAsia="仿宋"/>
          <w:kern w:val="0"/>
        </w:rPr>
        <w:t>次示值的算术平均值作为仪器示值，故</w:t>
      </w:r>
      <w:r>
        <w:rPr>
          <w:rFonts w:ascii="仿宋" w:hAnsi="仿宋" w:eastAsia="仿宋"/>
          <w:iCs/>
          <w:kern w:val="0"/>
        </w:rPr>
        <w:t>n</w:t>
      </w:r>
      <w:r>
        <w:rPr>
          <w:rFonts w:ascii="仿宋" w:hAnsi="仿宋" w:eastAsia="仿宋"/>
          <w:kern w:val="0"/>
        </w:rPr>
        <w:t>=3</w:t>
      </w:r>
      <w:r>
        <w:rPr>
          <w:rFonts w:hint="eastAsia" w:ascii="宋体" w:hAnsi="宋体"/>
          <w:kern w:val="0"/>
        </w:rPr>
        <w:t>。</w:t>
      </w:r>
    </w:p>
    <w:p w14:paraId="576B45E2">
      <w:pPr>
        <w:spacing w:line="360" w:lineRule="auto"/>
        <w:ind w:firstLine="600" w:firstLineChars="25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各校准点的标准偏差</w:t>
      </w:r>
      <m:oMath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iCs/>
            <w:color w:val="auto"/>
            <w:sz w:val="24"/>
            <w:szCs w:val="24"/>
          </w:rPr>
          <m:t>s</m:t>
        </m:r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与标准不确定度</w:t>
      </w:r>
      <m:oMath>
        <m:r>
          <m:rPr>
            <m:sty m:val="p"/>
          </m:rPr>
          <w:rPr>
            <w:rFonts w:hint="default" w:ascii="Times New Roman" w:hAnsi="Times New Roman" w:cs="Times New Roman"/>
            <w:color w:val="auto"/>
            <w:sz w:val="24"/>
            <w:szCs w:val="24"/>
          </w:rPr>
          <m:t>u(</m:t>
        </m:r>
        <m:bar>
          <m:barPr>
            <m:pos m:val="top"/>
            <m:ctrlPr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</m:ctrlPr>
          </m:barPr>
          <m:e>
            <m:r>
              <m:rPr>
                <m:sty m:val="p"/>
              </m:r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</m:ctrlPr>
          </m:e>
        </m:bar>
        <m:r>
          <m:rPr>
            <m:sty m:val="p"/>
          </m:rPr>
          <w:rPr>
            <w:rFonts w:hint="default" w:ascii="Times New Roman" w:hAnsi="Times New Roman" w:cs="Times New Roman"/>
            <w:color w:val="auto"/>
            <w:sz w:val="24"/>
            <w:szCs w:val="24"/>
          </w:rPr>
          <m:t>)</m:t>
        </m:r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的计算结果见表3</w:t>
      </w:r>
    </w:p>
    <w:p w14:paraId="4964C8A4">
      <w:pPr>
        <w:spacing w:line="360" w:lineRule="auto"/>
        <w:jc w:val="center"/>
        <w:textAlignment w:val="center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表3  各校准点的标准偏差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</w:rPr>
        <w:t>s</w:t>
      </w:r>
      <w:r>
        <w:rPr>
          <w:rFonts w:hint="default" w:ascii="Times New Roman" w:hAnsi="Times New Roman" w:eastAsia="黑体" w:cs="Times New Roman"/>
          <w:color w:val="auto"/>
        </w:rPr>
        <w:t>与标准不确定度</w:t>
      </w:r>
      <m:oMath>
        <m:r>
          <m:rPr/>
          <w:rPr>
            <w:rFonts w:ascii="Cambria Math" w:hAnsi="宋体" w:cs="宋体"/>
            <w:color w:val="auto"/>
          </w:rPr>
          <m:t>u(</m:t>
        </m:r>
        <m:bar>
          <m:barPr>
            <m:pos m:val="top"/>
            <m:ctrlPr>
              <w:rPr>
                <w:rFonts w:ascii="Cambria Math" w:hAnsi="Cambria Math"/>
                <w:i/>
                <w:color w:val="auto"/>
              </w:rPr>
            </m:ctrlPr>
          </m:barPr>
          <m:e>
            <m:r>
              <m:rPr/>
              <w:rPr>
                <w:rFonts w:ascii="Cambria Math"/>
                <w:color w:val="auto"/>
              </w:rPr>
              <m:t>x</m:t>
            </m:r>
            <m:ctrlPr>
              <w:rPr>
                <w:rFonts w:ascii="Cambria Math" w:hAnsi="Cambria Math"/>
                <w:i/>
                <w:color w:val="auto"/>
              </w:rPr>
            </m:ctrlPr>
          </m:e>
        </m:bar>
        <m:r>
          <m:rPr/>
          <w:rPr>
            <w:rFonts w:ascii="Cambria Math" w:hAnsi="宋体" w:cs="宋体"/>
            <w:color w:val="auto"/>
          </w:rPr>
          <m:t>)</m:t>
        </m:r>
      </m:oMath>
      <w:r>
        <w:rPr>
          <w:rFonts w:hint="default" w:ascii="Times New Roman" w:hAnsi="Times New Roman" w:eastAsia="黑体" w:cs="Times New Roman"/>
          <w:color w:val="auto"/>
        </w:rPr>
        <w:t xml:space="preserve"> </w:t>
      </w:r>
    </w:p>
    <w:tbl>
      <w:tblPr>
        <w:tblStyle w:val="12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269"/>
        <w:gridCol w:w="2126"/>
        <w:gridCol w:w="1843"/>
        <w:gridCol w:w="1694"/>
      </w:tblGrid>
      <w:tr w14:paraId="1A23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2" w:type="dxa"/>
            <w:vAlign w:val="center"/>
          </w:tcPr>
          <w:p w14:paraId="3A7217B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测量范围</w:t>
            </w:r>
          </w:p>
          <w:p w14:paraId="4605978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µmol/mol</w:t>
            </w:r>
          </w:p>
        </w:tc>
        <w:tc>
          <w:tcPr>
            <w:tcW w:w="2269" w:type="dxa"/>
            <w:vAlign w:val="center"/>
          </w:tcPr>
          <w:p w14:paraId="5F932F7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气体标准物质浓度值</w:t>
            </w:r>
          </w:p>
          <w:p w14:paraId="2C91F4F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µmol/mol</w:t>
            </w:r>
          </w:p>
        </w:tc>
        <w:tc>
          <w:tcPr>
            <w:tcW w:w="2126" w:type="dxa"/>
            <w:vAlign w:val="center"/>
          </w:tcPr>
          <w:p w14:paraId="766FEC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平均值</w:t>
            </w:r>
          </w:p>
          <w:p w14:paraId="3ED0772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µmol/mol</w:t>
            </w:r>
          </w:p>
        </w:tc>
        <w:tc>
          <w:tcPr>
            <w:tcW w:w="1843" w:type="dxa"/>
            <w:vAlign w:val="center"/>
          </w:tcPr>
          <w:p w14:paraId="5E7854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i w:val="0"/>
                <w:iCs/>
                <w:color w:val="auto"/>
              </w:rPr>
            </w:pPr>
            <m:oMathPara>
              <m:oMath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  <w:iCs/>
                    <w:color w:val="auto"/>
                  </w:rPr>
                  <m:t>s</m:t>
                </m:r>
              </m:oMath>
            </m:oMathPara>
          </w:p>
          <w:p w14:paraId="4950C4A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µmol/mol</w:t>
            </w:r>
          </w:p>
        </w:tc>
        <w:tc>
          <w:tcPr>
            <w:tcW w:w="1694" w:type="dxa"/>
            <w:vAlign w:val="center"/>
          </w:tcPr>
          <w:p w14:paraId="3A95C25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m:oMathPara>
              <m:oMath>
                <m:r>
                  <m:rPr/>
                  <w:rPr>
                    <w:rFonts w:ascii="Cambria Math" w:hAnsi="宋体" w:cs="宋体"/>
                    <w:color w:val="auto"/>
                  </w:rPr>
                  <m:t>u(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barPr>
                  <m:e>
                    <m:r>
                      <m:rPr/>
                      <w:rPr>
                        <w:rFonts w:ascii="Cambria Math"/>
                        <w:color w:val="aut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e>
                </m:bar>
                <m:r>
                  <m:rPr/>
                  <w:rPr>
                    <w:rFonts w:ascii="Cambria Math" w:hAnsi="宋体" w:cs="宋体"/>
                    <w:color w:val="auto"/>
                  </w:rPr>
                  <m:t>)</m:t>
                </m:r>
              </m:oMath>
            </m:oMathPara>
          </w:p>
          <w:p w14:paraId="1E4D64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µmol/mol</w:t>
            </w:r>
          </w:p>
        </w:tc>
      </w:tr>
      <w:tr w14:paraId="3BA1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12" w:type="dxa"/>
            <w:vMerge w:val="restart"/>
            <w:vAlign w:val="center"/>
          </w:tcPr>
          <w:p w14:paraId="55D9088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（0～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</w:rPr>
              <w:t>）</w:t>
            </w:r>
          </w:p>
        </w:tc>
        <w:tc>
          <w:tcPr>
            <w:tcW w:w="2269" w:type="dxa"/>
            <w:vAlign w:val="center"/>
          </w:tcPr>
          <w:p w14:paraId="022A22E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</w:rPr>
              <w:t>0.2</w:t>
            </w:r>
          </w:p>
        </w:tc>
        <w:tc>
          <w:tcPr>
            <w:tcW w:w="2126" w:type="dxa"/>
            <w:vAlign w:val="center"/>
          </w:tcPr>
          <w:p w14:paraId="2589C0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11.4</w:t>
            </w:r>
          </w:p>
        </w:tc>
        <w:tc>
          <w:tcPr>
            <w:tcW w:w="1843" w:type="dxa"/>
            <w:vAlign w:val="center"/>
          </w:tcPr>
          <w:p w14:paraId="30A30F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0.30</w:t>
            </w:r>
          </w:p>
        </w:tc>
        <w:tc>
          <w:tcPr>
            <w:tcW w:w="1694" w:type="dxa"/>
            <w:vAlign w:val="center"/>
          </w:tcPr>
          <w:p w14:paraId="7A8E2E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0.17</w:t>
            </w:r>
          </w:p>
        </w:tc>
      </w:tr>
      <w:tr w14:paraId="4F56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2" w:type="dxa"/>
            <w:vMerge w:val="continue"/>
            <w:vAlign w:val="center"/>
          </w:tcPr>
          <w:p w14:paraId="388A93B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69" w:type="dxa"/>
            <w:vAlign w:val="center"/>
          </w:tcPr>
          <w:p w14:paraId="3750A66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2126" w:type="dxa"/>
            <w:vAlign w:val="center"/>
          </w:tcPr>
          <w:p w14:paraId="2C0C5A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26.5</w:t>
            </w:r>
          </w:p>
        </w:tc>
        <w:tc>
          <w:tcPr>
            <w:tcW w:w="1843" w:type="dxa"/>
            <w:vAlign w:val="center"/>
          </w:tcPr>
          <w:p w14:paraId="70EFB9E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0.35</w:t>
            </w:r>
          </w:p>
        </w:tc>
        <w:tc>
          <w:tcPr>
            <w:tcW w:w="1694" w:type="dxa"/>
            <w:vAlign w:val="center"/>
          </w:tcPr>
          <w:p w14:paraId="37BC56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0.20</w:t>
            </w:r>
          </w:p>
        </w:tc>
      </w:tr>
      <w:tr w14:paraId="4399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412" w:type="dxa"/>
            <w:vMerge w:val="continue"/>
            <w:vAlign w:val="center"/>
          </w:tcPr>
          <w:p w14:paraId="4D4D6B1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69" w:type="dxa"/>
            <w:vAlign w:val="center"/>
          </w:tcPr>
          <w:p w14:paraId="2E1221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</w:rPr>
              <w:t>0.0</w:t>
            </w:r>
          </w:p>
        </w:tc>
        <w:tc>
          <w:tcPr>
            <w:tcW w:w="2126" w:type="dxa"/>
            <w:vAlign w:val="center"/>
          </w:tcPr>
          <w:p w14:paraId="088EC0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42.7</w:t>
            </w:r>
          </w:p>
        </w:tc>
        <w:tc>
          <w:tcPr>
            <w:tcW w:w="1843" w:type="dxa"/>
            <w:vAlign w:val="center"/>
          </w:tcPr>
          <w:p w14:paraId="676EF3C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0.35</w:t>
            </w:r>
          </w:p>
        </w:tc>
        <w:tc>
          <w:tcPr>
            <w:tcW w:w="1694" w:type="dxa"/>
            <w:vAlign w:val="center"/>
          </w:tcPr>
          <w:p w14:paraId="268B28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0.20</w:t>
            </w:r>
          </w:p>
        </w:tc>
      </w:tr>
    </w:tbl>
    <w:p w14:paraId="6A392D37">
      <w:pPr>
        <w:spacing w:before="156" w:beforeLines="50" w:after="156" w:afterLines="50" w:line="240" w:lineRule="atLeas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 xml:space="preserve">  合成标准不确定度</w:t>
      </w:r>
    </w:p>
    <w:p w14:paraId="2E8876F7">
      <w:pPr>
        <w:spacing w:line="240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5.1</w:t>
      </w:r>
      <w:r>
        <w:rPr>
          <w:rFonts w:hint="eastAsia" w:ascii="宋体" w:hAnsi="宋体" w:cs="宋体"/>
          <w:sz w:val="24"/>
          <w:szCs w:val="24"/>
        </w:rPr>
        <w:t>标准不确定度汇总表</w:t>
      </w:r>
    </w:p>
    <w:p w14:paraId="4448AF5B">
      <w:p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各标准不确定度分量汇总见表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37C16CB">
      <w:pPr>
        <w:spacing w:line="360" w:lineRule="auto"/>
        <w:ind w:right="-73" w:rightChars="-35"/>
        <w:jc w:val="center"/>
      </w:pPr>
      <w:r>
        <w:rPr>
          <w:rFonts w:hint="eastAsia" w:ascii="黑体" w:hAnsi="黑体" w:eastAsia="黑体" w:cs="黑体"/>
        </w:rPr>
        <w:t>表</w:t>
      </w:r>
      <w:r>
        <w:rPr>
          <w:rFonts w:eastAsia="黑体"/>
        </w:rPr>
        <w:t>4</w:t>
      </w:r>
      <w:r>
        <w:rPr>
          <w:rFonts w:hint="eastAsia" w:eastAsia="黑体"/>
        </w:rPr>
        <w:t xml:space="preserve">  </w:t>
      </w:r>
      <w:r>
        <w:rPr>
          <w:rFonts w:hint="eastAsia" w:ascii="黑体" w:hAnsi="黑体" w:eastAsia="黑体" w:cs="黑体"/>
        </w:rPr>
        <w:t>标准不确定度分量汇总表</w:t>
      </w:r>
    </w:p>
    <w:tbl>
      <w:tblPr>
        <w:tblStyle w:val="12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2127"/>
        <w:gridCol w:w="2409"/>
        <w:gridCol w:w="1982"/>
      </w:tblGrid>
      <w:tr w14:paraId="07F0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02C218A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测量范围</w:t>
            </w:r>
            <w:r>
              <w:rPr>
                <w:color w:val="auto"/>
              </w:rPr>
              <w:t>µmol/mol</w:t>
            </w:r>
          </w:p>
        </w:tc>
        <w:tc>
          <w:tcPr>
            <w:tcW w:w="1559" w:type="dxa"/>
            <w:vAlign w:val="center"/>
          </w:tcPr>
          <w:p w14:paraId="380F5CD0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标准不确定度</w:t>
            </w:r>
          </w:p>
          <w:p w14:paraId="40685B73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color w:val="auto"/>
              </w:rPr>
              <w:t>µmol/mol</w:t>
            </w:r>
          </w:p>
        </w:tc>
        <w:tc>
          <w:tcPr>
            <w:tcW w:w="2127" w:type="dxa"/>
            <w:vAlign w:val="center"/>
          </w:tcPr>
          <w:p w14:paraId="7E89225D">
            <w:pPr>
              <w:widowControl/>
              <w:jc w:val="center"/>
              <w:rPr>
                <w:rFonts w:ascii="宋体"/>
                <w:color w:val="auto"/>
              </w:rPr>
            </w:pPr>
            <w:r>
              <w:rPr>
                <w:rFonts w:hint="eastAsia"/>
                <w:color w:val="auto"/>
              </w:rPr>
              <w:t>气体标准物质浓度值</w:t>
            </w:r>
            <w:r>
              <w:rPr>
                <w:color w:val="auto"/>
              </w:rPr>
              <w:t>µmol/mol</w:t>
            </w:r>
          </w:p>
        </w:tc>
        <w:tc>
          <w:tcPr>
            <w:tcW w:w="2409" w:type="dxa"/>
            <w:vAlign w:val="center"/>
          </w:tcPr>
          <w:p w14:paraId="6DF856F3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不确定度来源</w:t>
            </w:r>
          </w:p>
        </w:tc>
        <w:tc>
          <w:tcPr>
            <w:tcW w:w="1982" w:type="dxa"/>
            <w:vAlign w:val="center"/>
          </w:tcPr>
          <w:p w14:paraId="6B2C8A3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标准不确定度值</w:t>
            </w:r>
          </w:p>
          <w:p w14:paraId="26BEFCAE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color w:val="auto"/>
              </w:rPr>
              <w:t>µmol/mol</w:t>
            </w:r>
          </w:p>
        </w:tc>
      </w:tr>
      <w:tr w14:paraId="500C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71" w:type="dxa"/>
            <w:vMerge w:val="restart"/>
            <w:vAlign w:val="center"/>
          </w:tcPr>
          <w:p w14:paraId="2CE855D9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（</w:t>
            </w:r>
            <w:r>
              <w:rPr>
                <w:rFonts w:ascii="宋体" w:cs="宋体"/>
                <w:color w:val="auto"/>
              </w:rPr>
              <w:t>0</w:t>
            </w:r>
            <w:r>
              <w:rPr>
                <w:rFonts w:hint="eastAsia" w:ascii="宋体" w:hAnsi="宋体" w:cs="宋体"/>
                <w:color w:val="auto"/>
              </w:rPr>
              <w:t>～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ascii="宋体" w:cs="宋体"/>
                <w:color w:val="auto"/>
              </w:rPr>
              <w:t>0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1559" w:type="dxa"/>
            <w:vMerge w:val="restart"/>
            <w:vAlign w:val="center"/>
          </w:tcPr>
          <w:p w14:paraId="68323122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m:oMathPara>
              <m:oMath>
                <m:r>
                  <m:rPr/>
                  <w:rPr>
                    <w:rFonts w:ascii="Cambria Math" w:hAnsi="宋体" w:cs="宋体"/>
                    <w:color w:val="auto"/>
                  </w:rPr>
                  <m:t>u(</m:t>
                </m:r>
                <m:sSub>
                  <m:sSubPr>
                    <m:ctrlPr>
                      <w:rPr>
                        <w:rFonts w:ascii="Cambria Math" w:hAnsi="宋体" w:cs="宋体"/>
                        <w:i/>
                        <w:color w:val="auto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宋体" w:cs="宋体"/>
                        <w:color w:val="auto"/>
                      </w:rPr>
                      <m:t>x</m:t>
                    </m:r>
                    <m:ctrlPr>
                      <w:rPr>
                        <w:rFonts w:ascii="Cambria Math" w:hAnsi="宋体" w:cs="宋体"/>
                        <w:i/>
                        <w:color w:val="auto"/>
                      </w:rPr>
                    </m:ctrlPr>
                  </m:e>
                  <m:sub>
                    <m:r>
                      <m:rPr/>
                      <w:rPr>
                        <w:rFonts w:ascii="Cambria Math" w:hAnsi="宋体" w:cs="宋体"/>
                        <w:color w:val="auto"/>
                      </w:rPr>
                      <m:t>s</m:t>
                    </m:r>
                    <m:ctrlPr>
                      <w:rPr>
                        <w:rFonts w:ascii="Cambria Math" w:hAnsi="宋体" w:cs="宋体"/>
                        <w:i/>
                        <w:color w:val="auto"/>
                      </w:rPr>
                    </m:ctrlPr>
                  </m:sub>
                </m:sSub>
                <m:r>
                  <m:rPr/>
                  <w:rPr>
                    <w:rFonts w:ascii="Cambria Math" w:hAnsi="宋体" w:cs="宋体"/>
                    <w:color w:val="auto"/>
                  </w:rPr>
                  <m:t>)</m:t>
                </m:r>
              </m:oMath>
            </m:oMathPara>
          </w:p>
        </w:tc>
        <w:tc>
          <w:tcPr>
            <w:tcW w:w="2127" w:type="dxa"/>
            <w:vAlign w:val="center"/>
          </w:tcPr>
          <w:p w14:paraId="6893D43E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auto"/>
              </w:rPr>
              <w:t>0</w:t>
            </w:r>
            <w:r>
              <w:rPr>
                <w:rFonts w:ascii="宋体" w:cs="宋体"/>
                <w:color w:val="auto"/>
              </w:rPr>
              <w:t>.2</w:t>
            </w:r>
          </w:p>
        </w:tc>
        <w:tc>
          <w:tcPr>
            <w:tcW w:w="2409" w:type="dxa"/>
            <w:vMerge w:val="restart"/>
            <w:vAlign w:val="center"/>
          </w:tcPr>
          <w:p w14:paraId="2BD612A0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硅烷</w:t>
            </w:r>
            <w:r>
              <w:rPr>
                <w:rFonts w:hint="eastAsia" w:ascii="宋体" w:hAnsi="宋体"/>
                <w:color w:val="auto"/>
              </w:rPr>
              <w:t>气体标准物质引入的标准不确定度</w:t>
            </w:r>
          </w:p>
        </w:tc>
        <w:tc>
          <w:tcPr>
            <w:tcW w:w="1982" w:type="dxa"/>
            <w:vAlign w:val="top"/>
          </w:tcPr>
          <w:p w14:paraId="4E954889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0</w:t>
            </w:r>
            <w:r>
              <w:rPr>
                <w:rFonts w:ascii="宋体" w:hAnsi="宋体" w:cs="宋体"/>
                <w:color w:val="auto"/>
              </w:rPr>
              <w:t>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20</w:t>
            </w:r>
          </w:p>
        </w:tc>
      </w:tr>
      <w:tr w14:paraId="132C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1" w:type="dxa"/>
            <w:vMerge w:val="continue"/>
            <w:vAlign w:val="center"/>
          </w:tcPr>
          <w:p w14:paraId="0B196215">
            <w:pPr>
              <w:adjustRightInd w:val="0"/>
              <w:snapToGrid w:val="0"/>
              <w:rPr>
                <w:rFonts w:ascii="宋体"/>
                <w:i/>
                <w:iCs/>
                <w:color w:val="auto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D46F6E">
            <w:pPr>
              <w:adjustRightInd w:val="0"/>
              <w:snapToGrid w:val="0"/>
              <w:rPr>
                <w:rFonts w:ascii="宋体"/>
                <w:i/>
                <w:iCs/>
                <w:color w:val="auto"/>
              </w:rPr>
            </w:pPr>
          </w:p>
        </w:tc>
        <w:tc>
          <w:tcPr>
            <w:tcW w:w="2127" w:type="dxa"/>
            <w:vAlign w:val="center"/>
          </w:tcPr>
          <w:p w14:paraId="5BC3CAD1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25</w:t>
            </w:r>
            <w:r>
              <w:rPr>
                <w:rFonts w:ascii="宋体" w:hAnsi="宋体" w:cs="宋体"/>
                <w:color w:val="auto"/>
              </w:rPr>
              <w:t>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2409" w:type="dxa"/>
            <w:vMerge w:val="continue"/>
            <w:vAlign w:val="center"/>
          </w:tcPr>
          <w:p w14:paraId="0148976F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82" w:type="dxa"/>
            <w:vAlign w:val="top"/>
          </w:tcPr>
          <w:p w14:paraId="58E63931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0</w:t>
            </w:r>
            <w:r>
              <w:rPr>
                <w:rFonts w:ascii="宋体" w:hAnsi="宋体" w:cs="宋体"/>
                <w:color w:val="auto"/>
              </w:rPr>
              <w:t>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51</w:t>
            </w:r>
          </w:p>
        </w:tc>
      </w:tr>
      <w:tr w14:paraId="055B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1" w:type="dxa"/>
            <w:vMerge w:val="continue"/>
            <w:vAlign w:val="center"/>
          </w:tcPr>
          <w:p w14:paraId="3D59960D">
            <w:pPr>
              <w:adjustRightInd w:val="0"/>
              <w:snapToGrid w:val="0"/>
              <w:rPr>
                <w:rFonts w:ascii="宋体"/>
                <w:i/>
                <w:iCs/>
                <w:color w:val="auto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0DE3A87">
            <w:pPr>
              <w:adjustRightInd w:val="0"/>
              <w:snapToGrid w:val="0"/>
              <w:rPr>
                <w:rFonts w:ascii="宋体"/>
                <w:i/>
                <w:iCs/>
                <w:color w:val="auto"/>
              </w:rPr>
            </w:pPr>
          </w:p>
        </w:tc>
        <w:tc>
          <w:tcPr>
            <w:tcW w:w="2127" w:type="dxa"/>
            <w:vAlign w:val="center"/>
          </w:tcPr>
          <w:p w14:paraId="587823A9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</w:rPr>
              <w:t>0</w:t>
            </w:r>
            <w:r>
              <w:rPr>
                <w:rFonts w:ascii="宋体" w:cs="宋体"/>
                <w:color w:val="auto"/>
              </w:rPr>
              <w:t>.0</w:t>
            </w:r>
          </w:p>
        </w:tc>
        <w:tc>
          <w:tcPr>
            <w:tcW w:w="2409" w:type="dxa"/>
            <w:vMerge w:val="continue"/>
            <w:vAlign w:val="center"/>
          </w:tcPr>
          <w:p w14:paraId="13FCE356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82" w:type="dxa"/>
            <w:vAlign w:val="top"/>
          </w:tcPr>
          <w:p w14:paraId="67AA2505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0.80</w:t>
            </w:r>
          </w:p>
        </w:tc>
      </w:tr>
      <w:tr w14:paraId="592A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71" w:type="dxa"/>
            <w:vMerge w:val="continue"/>
            <w:vAlign w:val="center"/>
          </w:tcPr>
          <w:p w14:paraId="124CCE58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794AF42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m:oMathPara>
              <m:oMath>
                <m:r>
                  <m:rPr/>
                  <w:rPr>
                    <w:rFonts w:ascii="Cambria Math" w:hAnsi="宋体" w:cs="宋体"/>
                    <w:color w:val="auto"/>
                  </w:rPr>
                  <m:t>u(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barPr>
                  <m:e>
                    <m:r>
                      <m:rPr/>
                      <w:rPr>
                        <w:rFonts w:ascii="Cambria Math"/>
                        <w:color w:val="aut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e>
                </m:bar>
                <m:r>
                  <m:rPr/>
                  <w:rPr>
                    <w:rFonts w:ascii="Cambria Math" w:hAnsi="宋体" w:cs="宋体"/>
                    <w:color w:val="auto"/>
                  </w:rPr>
                  <m:t>)</m:t>
                </m:r>
              </m:oMath>
            </m:oMathPara>
          </w:p>
        </w:tc>
        <w:tc>
          <w:tcPr>
            <w:tcW w:w="2127" w:type="dxa"/>
            <w:vAlign w:val="center"/>
          </w:tcPr>
          <w:p w14:paraId="0E142DAD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auto"/>
              </w:rPr>
              <w:t>0</w:t>
            </w:r>
            <w:r>
              <w:rPr>
                <w:rFonts w:ascii="宋体" w:cs="宋体"/>
                <w:color w:val="auto"/>
              </w:rPr>
              <w:t>.2</w:t>
            </w:r>
          </w:p>
        </w:tc>
        <w:tc>
          <w:tcPr>
            <w:tcW w:w="2409" w:type="dxa"/>
            <w:vMerge w:val="restart"/>
            <w:vAlign w:val="center"/>
          </w:tcPr>
          <w:p w14:paraId="37291041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测量重复性引入的</w:t>
            </w:r>
            <w:r>
              <w:rPr>
                <w:rFonts w:hint="eastAsia"/>
                <w:color w:val="auto"/>
              </w:rPr>
              <w:t>标准不确定度</w:t>
            </w:r>
          </w:p>
        </w:tc>
        <w:tc>
          <w:tcPr>
            <w:tcW w:w="1982" w:type="dxa"/>
            <w:vAlign w:val="center"/>
          </w:tcPr>
          <w:p w14:paraId="3D614F40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0.17</w:t>
            </w:r>
          </w:p>
        </w:tc>
      </w:tr>
      <w:tr w14:paraId="0B13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1" w:type="dxa"/>
            <w:vMerge w:val="continue"/>
            <w:vAlign w:val="center"/>
          </w:tcPr>
          <w:p w14:paraId="4163D045">
            <w:pPr>
              <w:adjustRightInd w:val="0"/>
              <w:snapToGrid w:val="0"/>
              <w:ind w:firstLine="630" w:firstLineChars="300"/>
              <w:rPr>
                <w:rFonts w:ascii="宋体"/>
                <w:i/>
                <w:iCs/>
                <w:color w:val="auto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D39AF60">
            <w:pPr>
              <w:adjustRightInd w:val="0"/>
              <w:snapToGrid w:val="0"/>
              <w:ind w:firstLine="630" w:firstLineChars="300"/>
              <w:rPr>
                <w:rFonts w:ascii="宋体"/>
                <w:i/>
                <w:iCs/>
                <w:color w:val="auto"/>
              </w:rPr>
            </w:pPr>
          </w:p>
        </w:tc>
        <w:tc>
          <w:tcPr>
            <w:tcW w:w="2127" w:type="dxa"/>
            <w:vAlign w:val="center"/>
          </w:tcPr>
          <w:p w14:paraId="1909B438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25</w:t>
            </w:r>
            <w:r>
              <w:rPr>
                <w:rFonts w:ascii="宋体" w:hAnsi="宋体" w:cs="宋体"/>
                <w:color w:val="auto"/>
              </w:rPr>
              <w:t>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2409" w:type="dxa"/>
            <w:vMerge w:val="continue"/>
            <w:vAlign w:val="center"/>
          </w:tcPr>
          <w:p w14:paraId="2453809E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82" w:type="dxa"/>
            <w:vAlign w:val="center"/>
          </w:tcPr>
          <w:p w14:paraId="3279F0AF">
            <w:pPr>
              <w:spacing w:line="360" w:lineRule="auto"/>
              <w:jc w:val="center"/>
              <w:rPr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0.20</w:t>
            </w:r>
          </w:p>
        </w:tc>
      </w:tr>
      <w:tr w14:paraId="4B8C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1" w:type="dxa"/>
            <w:vMerge w:val="continue"/>
            <w:vAlign w:val="center"/>
          </w:tcPr>
          <w:p w14:paraId="7DB4C3AD">
            <w:pPr>
              <w:adjustRightInd w:val="0"/>
              <w:snapToGrid w:val="0"/>
              <w:ind w:firstLine="630" w:firstLineChars="300"/>
              <w:rPr>
                <w:rFonts w:ascii="宋体"/>
                <w:i/>
                <w:iCs/>
                <w:color w:val="auto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C3BAC3">
            <w:pPr>
              <w:adjustRightInd w:val="0"/>
              <w:snapToGrid w:val="0"/>
              <w:ind w:firstLine="630" w:firstLineChars="300"/>
              <w:rPr>
                <w:rFonts w:ascii="宋体"/>
                <w:i/>
                <w:iCs/>
                <w:color w:val="auto"/>
              </w:rPr>
            </w:pPr>
          </w:p>
        </w:tc>
        <w:tc>
          <w:tcPr>
            <w:tcW w:w="2127" w:type="dxa"/>
            <w:vAlign w:val="center"/>
          </w:tcPr>
          <w:p w14:paraId="61E08881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</w:rPr>
              <w:t>0</w:t>
            </w:r>
            <w:r>
              <w:rPr>
                <w:rFonts w:ascii="宋体" w:cs="宋体"/>
                <w:color w:val="auto"/>
              </w:rPr>
              <w:t>.0</w:t>
            </w:r>
          </w:p>
        </w:tc>
        <w:tc>
          <w:tcPr>
            <w:tcW w:w="2409" w:type="dxa"/>
            <w:vMerge w:val="continue"/>
            <w:vAlign w:val="center"/>
          </w:tcPr>
          <w:p w14:paraId="7DE1A981">
            <w:pPr>
              <w:adjustRightInd w:val="0"/>
              <w:snapToGri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82" w:type="dxa"/>
            <w:vAlign w:val="center"/>
          </w:tcPr>
          <w:p w14:paraId="5530C89A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0.20</w:t>
            </w:r>
          </w:p>
        </w:tc>
      </w:tr>
    </w:tbl>
    <w:p w14:paraId="108A27C6">
      <w:pPr>
        <w:spacing w:line="360" w:lineRule="auto"/>
        <w:rPr>
          <w:rFonts w:ascii="宋体" w:hAnsi="宋体"/>
          <w:sz w:val="24"/>
          <w:szCs w:val="24"/>
        </w:rPr>
      </w:pPr>
    </w:p>
    <w:p w14:paraId="33C89371">
      <w:pPr>
        <w:spacing w:line="360" w:lineRule="auto"/>
        <w:rPr>
          <w:rFonts w:ascii="宋体" w:hAnsi="宋体" w:cs="黑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 xml:space="preserve">.2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合成标准不确定度的计算</w:t>
      </w:r>
    </w:p>
    <w:p w14:paraId="3EB791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 xml:space="preserve"> </w:t>
      </w:r>
      <w:r>
        <w:rPr>
          <w:rFonts w:ascii="宋体" w:hAnsi="宋体" w:cs="黑体"/>
          <w:sz w:val="24"/>
          <w:szCs w:val="24"/>
        </w:rPr>
        <w:t xml:space="preserve">   </w:t>
      </w:r>
      <w:r>
        <w:rPr>
          <w:rFonts w:hint="eastAsia" w:ascii="宋体" w:hAnsi="宋体" w:cs="黑体"/>
          <w:sz w:val="24"/>
          <w:szCs w:val="24"/>
        </w:rPr>
        <w:t>各输入量彼此独立不相关，则合成标准不确定度按式（5）计算</w:t>
      </w:r>
    </w:p>
    <w:p w14:paraId="47FE4EAB">
      <w:pPr>
        <w:adjustRightInd w:val="0"/>
        <w:snapToGrid w:val="0"/>
        <w:spacing w:line="360" w:lineRule="auto"/>
        <w:ind w:firstLine="1440" w:firstLineChars="600"/>
        <w:jc w:val="right"/>
        <w:rPr>
          <w:rFonts w:ascii="宋体" w:hAnsi="宋体" w:cs="宋体"/>
          <w:sz w:val="24"/>
          <w:szCs w:val="24"/>
        </w:rPr>
      </w:pPr>
      <m:oMath>
        <m:sSup>
          <m:sSupPr>
            <m:ctrlPr>
              <w:rPr>
                <w:rFonts w:ascii="Cambria Math" w:hAnsi="宋体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宋体"/>
                    <w:sz w:val="24"/>
                    <w:szCs w:val="24"/>
                  </w:rPr>
                  <m:t>u</m:t>
                </m: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宋体"/>
                    <w:sz w:val="24"/>
                    <w:szCs w:val="24"/>
                  </w:rPr>
                  <m:t>c</m:t>
                </m: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宋体"/>
                <w:sz w:val="24"/>
                <w:szCs w:val="24"/>
              </w:rPr>
              <m:t>2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宋体"/>
            <w:sz w:val="24"/>
            <w:szCs w:val="24"/>
          </w:rPr>
          <m:t>(Δx)=(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/>
              <w:rPr>
                <w:rFonts w:hint="eastAsia" w:ascii="微软雅黑" w:hAnsi="微软雅黑" w:eastAsia="微软雅黑" w:cs="微软雅黑"/>
                <w:sz w:val="24"/>
                <w:szCs w:val="24"/>
              </w:rPr>
              <m:t>∂</m:t>
            </m:r>
            <m:r>
              <m:rPr/>
              <w:rPr>
                <w:rFonts w:hint="eastAsia" w:ascii="宋体" w:hAnsi="宋体" w:cs="宋体"/>
                <w:sz w:val="24"/>
                <w:szCs w:val="24"/>
              </w:rPr>
              <m:t>Δ</m:t>
            </m:r>
            <m:r>
              <m:rPr/>
              <w:rPr>
                <w:rFonts w:ascii="Cambria Math" w:hAnsi="宋体"/>
                <w:sz w:val="24"/>
                <w:szCs w:val="24"/>
              </w:rPr>
              <m:t>x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hint="eastAsia" w:ascii="微软雅黑" w:hAnsi="微软雅黑" w:eastAsia="微软雅黑" w:cs="微软雅黑"/>
                <w:sz w:val="24"/>
                <w:szCs w:val="24"/>
              </w:rPr>
              <m:t>∂</m:t>
            </m:r>
            <m:bar>
              <m:barPr>
                <m:pos m:val="top"/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barPr>
              <m:e>
                <m:r>
                  <m:rPr/>
                  <w:rPr>
                    <w:rFonts w:ascii="Cambria Math" w:hAnsi="宋体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e>
            </m:ba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sSup>
          <m:sSupPr>
            <m:ctrlPr>
              <w:rPr>
                <w:rFonts w:ascii="Cambria Math" w:hAnsi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宋体"/>
                <w:sz w:val="24"/>
                <w:szCs w:val="24"/>
              </w:rPr>
              <m:t>)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宋体"/>
                <w:sz w:val="24"/>
                <w:szCs w:val="24"/>
              </w:rPr>
              <m:t>2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宋体"/>
                <w:sz w:val="24"/>
                <w:szCs w:val="24"/>
              </w:rPr>
              <m:t>u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宋体"/>
                <w:sz w:val="24"/>
                <w:szCs w:val="24"/>
              </w:rPr>
              <m:t>2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宋体"/>
            <w:sz w:val="24"/>
            <w:szCs w:val="24"/>
          </w:rPr>
          <m:t>(</m:t>
        </m:r>
        <m:bar>
          <m:barPr>
            <m:pos m:val="top"/>
            <m:ctrlPr>
              <w:rPr>
                <w:rFonts w:ascii="Cambria Math" w:hAnsi="宋体"/>
                <w:i/>
                <w:sz w:val="24"/>
                <w:szCs w:val="24"/>
              </w:rPr>
            </m:ctrlPr>
          </m:barPr>
          <m:e>
            <m:r>
              <m:rPr/>
              <w:rPr>
                <w:rFonts w:ascii="Cambria Math" w:hAnsi="宋体"/>
                <w:sz w:val="24"/>
                <w:szCs w:val="24"/>
              </w:rPr>
              <m:t>x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</m:bar>
        <m:r>
          <m:rPr/>
          <w:rPr>
            <w:rFonts w:ascii="Cambria Math" w:hAnsi="宋体"/>
            <w:sz w:val="24"/>
            <w:szCs w:val="24"/>
          </w:rPr>
          <m:t>)+(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/>
              <w:rPr>
                <w:rFonts w:hint="eastAsia" w:ascii="微软雅黑" w:hAnsi="微软雅黑" w:eastAsia="微软雅黑" w:cs="微软雅黑"/>
                <w:sz w:val="24"/>
                <w:szCs w:val="24"/>
              </w:rPr>
              <m:t>∂</m:t>
            </m:r>
            <m:r>
              <m:rPr/>
              <w:rPr>
                <w:rFonts w:hint="eastAsia" w:ascii="宋体" w:hAnsi="宋体" w:cs="宋体"/>
                <w:sz w:val="24"/>
                <w:szCs w:val="24"/>
              </w:rPr>
              <m:t>Δ</m:t>
            </m:r>
            <m:r>
              <m:rPr/>
              <w:rPr>
                <w:rFonts w:ascii="Cambria Math" w:hAnsi="宋体"/>
                <w:sz w:val="24"/>
                <w:szCs w:val="24"/>
              </w:rPr>
              <m:t>x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hint="eastAsia" w:ascii="微软雅黑" w:hAnsi="微软雅黑" w:eastAsia="微软雅黑" w:cs="微软雅黑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宋体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宋体"/>
                    <w:sz w:val="24"/>
                    <w:szCs w:val="24"/>
                  </w:rPr>
                  <m:t>s</m:t>
                </m: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sSup>
          <m:sSupPr>
            <m:ctrlPr>
              <w:rPr>
                <w:rFonts w:ascii="Cambria Math" w:hAnsi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宋体"/>
                <w:sz w:val="24"/>
                <w:szCs w:val="24"/>
              </w:rPr>
              <m:t>)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宋体"/>
                <w:sz w:val="24"/>
                <w:szCs w:val="24"/>
              </w:rPr>
              <m:t>2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宋体"/>
                <w:sz w:val="24"/>
                <w:szCs w:val="24"/>
              </w:rPr>
              <m:t>u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宋体"/>
                <w:sz w:val="24"/>
                <w:szCs w:val="24"/>
              </w:rPr>
              <m:t>2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宋体"/>
            <w:sz w:val="24"/>
            <w:szCs w:val="24"/>
          </w:rPr>
          <m:t>(</m:t>
        </m:r>
        <m:sSub>
          <m:sSubPr>
            <m:ctrlPr>
              <w:rPr>
                <w:rFonts w:ascii="Cambria Math" w:hAnsi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宋体"/>
                <w:sz w:val="24"/>
                <w:szCs w:val="24"/>
              </w:rPr>
              <m:t>x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宋体"/>
                <w:sz w:val="24"/>
                <w:szCs w:val="24"/>
              </w:rPr>
              <m:t>s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宋体"/>
            <w:sz w:val="24"/>
            <w:szCs w:val="24"/>
          </w:rPr>
          <m:t>)</m:t>
        </m:r>
      </m:oMath>
      <w:r>
        <w:rPr>
          <w:rFonts w:hAnsi="宋体"/>
          <w:position w:val="-30"/>
          <w:sz w:val="24"/>
          <w:szCs w:val="24"/>
        </w:rPr>
        <w:t xml:space="preserve">                  </w:t>
      </w:r>
      <w:r>
        <w:rPr>
          <w:rFonts w:hint="eastAsia" w:hAnsi="宋体"/>
          <w:sz w:val="24"/>
          <w:szCs w:val="24"/>
        </w:rPr>
        <w:t>（5）</w:t>
      </w:r>
    </w:p>
    <w:p w14:paraId="021CCB3E">
      <w:pPr>
        <w:adjustRightInd w:val="0"/>
        <w:snapToGrid w:val="0"/>
        <w:spacing w:line="360" w:lineRule="auto"/>
        <w:ind w:firstLine="720" w:firstLineChars="300"/>
        <w:rPr>
          <w:rFonts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灵敏系数：</w:t>
      </w:r>
      <w:r>
        <w:rPr>
          <w:rFonts w:hAnsi="宋体"/>
          <w:sz w:val="24"/>
          <w:szCs w:val="24"/>
        </w:rPr>
        <w:fldChar w:fldCharType="begin"/>
      </w:r>
      <w:r>
        <w:rPr>
          <w:rFonts w:hAnsi="宋体"/>
          <w:sz w:val="24"/>
          <w:szCs w:val="24"/>
        </w:rPr>
        <w:instrText xml:space="preserve"> QUOTE </w:instrText>
      </w:r>
      <w:r>
        <w:drawing>
          <wp:inline distT="0" distB="0" distL="0" distR="0">
            <wp:extent cx="712470" cy="409575"/>
            <wp:effectExtent l="0" t="0" r="0" b="8890"/>
            <wp:docPr id="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4"/>
          <w:szCs w:val="24"/>
        </w:rPr>
        <w:instrText xml:space="preserve"> </w:instrText>
      </w:r>
      <w:r>
        <w:rPr>
          <w:rFonts w:hAnsi="宋体"/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∂Δ</m:t>
            </m:r>
            <m:r>
              <m:rPr>
                <m:sty m:val="p"/>
              </m:rPr>
              <w:rPr>
                <w:rFonts w:hint="eastAsia"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∂</m:t>
            </m:r>
            <m:bar>
              <m:barPr>
                <m:pos m:val="top"/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e>
            </m:ba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=1</m:t>
        </m:r>
      </m:oMath>
      <w:r>
        <w:rPr>
          <w:rFonts w:hAnsi="宋体"/>
          <w:sz w:val="24"/>
          <w:szCs w:val="24"/>
        </w:rPr>
        <w:fldChar w:fldCharType="end"/>
      </w:r>
      <w:r>
        <w:rPr>
          <w:rFonts w:hAnsi="宋体"/>
          <w:sz w:val="24"/>
          <w:szCs w:val="24"/>
        </w:rPr>
        <w:t xml:space="preserve">        </w:t>
      </w:r>
      <w:r>
        <w:rPr>
          <w:rFonts w:hAnsi="宋体"/>
          <w:sz w:val="24"/>
          <w:szCs w:val="24"/>
        </w:rPr>
        <w:fldChar w:fldCharType="begin"/>
      </w:r>
      <w:r>
        <w:rPr>
          <w:rFonts w:hAnsi="宋体"/>
          <w:sz w:val="24"/>
          <w:szCs w:val="24"/>
        </w:rPr>
        <w:instrText xml:space="preserve"> QUOTE </w:instrText>
      </w:r>
      <w:r>
        <w:drawing>
          <wp:inline distT="0" distB="0" distL="0" distR="0">
            <wp:extent cx="735965" cy="397510"/>
            <wp:effectExtent l="0" t="0" r="0" b="2540"/>
            <wp:docPr id="27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4"/>
          <w:szCs w:val="24"/>
        </w:rPr>
        <w:instrText xml:space="preserve"> </w:instrText>
      </w:r>
      <w:r>
        <w:rPr>
          <w:rFonts w:hAnsi="宋体"/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微软雅黑" w:cs="微软雅黑"/>
                <w:sz w:val="24"/>
                <w:szCs w:val="24"/>
              </w:rPr>
              <m:t>∂</m:t>
            </m:r>
            <m:r>
              <m:rPr>
                <m:sty m:val="p"/>
              </m:rPr>
              <w:rPr>
                <w:rFonts w:hint="eastAsia" w:ascii="Cambria Math" w:hAnsi="Cambria Math" w:cs="宋体"/>
                <w:sz w:val="24"/>
                <w:szCs w:val="24"/>
              </w:rPr>
              <m:t>Δ</m:t>
            </m:r>
            <m:r>
              <m:rPr>
                <m:sty m:val="p"/>
              </m:rPr>
              <w:rPr>
                <w:rFonts w:ascii="Cambria Math" w:hAnsi="宋体"/>
                <w:sz w:val="24"/>
                <w:szCs w:val="24"/>
              </w:rPr>
              <m:t>x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微软雅黑" w:cs="微软雅黑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宋体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宋体"/>
                    <w:sz w:val="24"/>
                    <w:szCs w:val="24"/>
                  </w:rPr>
                  <m:t>s</m:t>
                </m: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宋体"/>
            <w:sz w:val="24"/>
            <w:szCs w:val="24"/>
          </w:rPr>
          <m:t>=</m:t>
        </m:r>
        <m:r>
          <m:rPr>
            <m:sty m:val="p"/>
          </m:rPr>
          <w:rPr>
            <w:rFonts w:hint="eastAsia" w:ascii="Cambria Math" w:hAnsi="Cambria Math" w:eastAsia="微软雅黑" w:cs="微软雅黑"/>
            <w:sz w:val="24"/>
            <w:szCs w:val="24"/>
          </w:rPr>
          <m:t>−</m:t>
        </m:r>
        <m:r>
          <m:rPr>
            <m:sty m:val="p"/>
          </m:rPr>
          <w:rPr>
            <w:rFonts w:ascii="Cambria Math" w:hAnsi="宋体"/>
            <w:sz w:val="24"/>
            <w:szCs w:val="24"/>
          </w:rPr>
          <m:t>1</m:t>
        </m:r>
      </m:oMath>
      <w:r>
        <w:rPr>
          <w:rFonts w:hAnsi="宋体"/>
          <w:sz w:val="24"/>
          <w:szCs w:val="24"/>
        </w:rPr>
        <w:fldChar w:fldCharType="end"/>
      </w:r>
    </w:p>
    <w:p w14:paraId="25ADCA30">
      <w:pPr>
        <w:pStyle w:val="6"/>
        <w:spacing w:line="360" w:lineRule="auto"/>
        <w:ind w:firstLine="480" w:firstLineChars="200"/>
        <w:jc w:val="right"/>
        <w:rPr>
          <w:rFonts w:hAnsi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则：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hAnsi="宋体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宋体"/>
                    <w:sz w:val="24"/>
                    <w:szCs w:val="24"/>
                  </w:rPr>
                  <m:t>u</m:t>
                </m: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宋体"/>
                    <w:sz w:val="24"/>
                    <w:szCs w:val="24"/>
                  </w:rPr>
                  <m:t>c</m:t>
                </m:r>
                <m:ctrlPr>
                  <w:rPr>
                    <w:rFonts w:ascii="Cambria Math" w:hAnsi="宋体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宋体"/>
                <w:sz w:val="24"/>
                <w:szCs w:val="24"/>
              </w:rPr>
              <m:t>2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宋体"/>
            <w:sz w:val="24"/>
            <w:szCs w:val="24"/>
          </w:rPr>
          <m:t>(Δx)=</m:t>
        </m:r>
        <m:sSup>
          <m:sSupPr>
            <m:ctrlPr>
              <w:rPr>
                <w:rFonts w:ascii="Cambria Math" w:hAnsi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宋体"/>
                <w:sz w:val="24"/>
                <w:szCs w:val="24"/>
              </w:rPr>
              <m:t>u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宋体"/>
                <w:sz w:val="24"/>
                <w:szCs w:val="24"/>
              </w:rPr>
              <m:t>2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宋体"/>
            <w:sz w:val="24"/>
            <w:szCs w:val="24"/>
          </w:rPr>
          <m:t>(</m:t>
        </m:r>
        <m:bar>
          <m:barPr>
            <m:pos m:val="top"/>
            <m:ctrlPr>
              <w:rPr>
                <w:rFonts w:ascii="Cambria Math" w:hAnsi="宋体"/>
                <w:i/>
                <w:sz w:val="24"/>
                <w:szCs w:val="24"/>
              </w:rPr>
            </m:ctrlPr>
          </m:barPr>
          <m:e>
            <m:r>
              <m:rPr/>
              <w:rPr>
                <w:rFonts w:ascii="Cambria Math" w:hAnsi="宋体"/>
                <w:sz w:val="24"/>
                <w:szCs w:val="24"/>
              </w:rPr>
              <m:t>x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</m:bar>
        <m:r>
          <m:rPr/>
          <w:rPr>
            <w:rFonts w:ascii="Cambria Math" w:hAnsi="宋体"/>
            <w:sz w:val="24"/>
            <w:szCs w:val="24"/>
          </w:rPr>
          <m:t>)+</m:t>
        </m:r>
        <m:sSup>
          <m:sSupPr>
            <m:ctrlPr>
              <w:rPr>
                <w:rFonts w:ascii="Cambria Math" w:hAnsi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宋体"/>
                <w:sz w:val="24"/>
                <w:szCs w:val="24"/>
              </w:rPr>
              <m:t>u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宋体"/>
                <w:sz w:val="24"/>
                <w:szCs w:val="24"/>
              </w:rPr>
              <m:t>2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宋体"/>
            <w:sz w:val="24"/>
            <w:szCs w:val="24"/>
          </w:rPr>
          <m:t>(</m:t>
        </m:r>
        <m:sSub>
          <m:sSubPr>
            <m:ctrlPr>
              <w:rPr>
                <w:rFonts w:ascii="Cambria Math" w:hAnsi="宋体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宋体"/>
                <w:sz w:val="24"/>
                <w:szCs w:val="24"/>
              </w:rPr>
              <m:t>x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宋体"/>
                <w:sz w:val="24"/>
                <w:szCs w:val="24"/>
              </w:rPr>
              <m:t>s</m:t>
            </m:r>
            <m:ctrlPr>
              <w:rPr>
                <w:rFonts w:ascii="Cambria Math" w:hAnsi="宋体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宋体"/>
            <w:sz w:val="24"/>
            <w:szCs w:val="24"/>
          </w:rPr>
          <m:t>)</m:t>
        </m:r>
      </m:oMath>
      <w:r>
        <w:rPr>
          <w:rFonts w:hAnsi="宋体"/>
          <w:sz w:val="24"/>
          <w:szCs w:val="24"/>
        </w:rPr>
        <w:t xml:space="preserve">                        </w:t>
      </w:r>
      <w:r>
        <w:rPr>
          <w:rFonts w:hint="eastAsia" w:hAnsi="宋体"/>
          <w:sz w:val="24"/>
          <w:szCs w:val="24"/>
        </w:rPr>
        <w:t>（</w:t>
      </w:r>
      <w:r>
        <w:rPr>
          <w:rFonts w:hAnsi="宋体"/>
          <w:sz w:val="24"/>
          <w:szCs w:val="24"/>
        </w:rPr>
        <w:t>6</w:t>
      </w:r>
      <w:r>
        <w:rPr>
          <w:rFonts w:hint="eastAsia" w:hAnsi="宋体"/>
          <w:sz w:val="24"/>
          <w:szCs w:val="24"/>
        </w:rPr>
        <w:t>）</w:t>
      </w:r>
    </w:p>
    <w:p w14:paraId="173263EA">
      <w:pPr>
        <w:pStyle w:val="6"/>
        <w:spacing w:line="360" w:lineRule="auto"/>
        <w:ind w:firstLine="480" w:firstLineChars="200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按式（</w:t>
      </w:r>
      <w:r>
        <w:rPr>
          <w:rFonts w:hAnsi="宋体" w:eastAsia="宋体"/>
          <w:sz w:val="24"/>
          <w:szCs w:val="24"/>
        </w:rPr>
        <w:t>6</w:t>
      </w:r>
      <w:r>
        <w:rPr>
          <w:rFonts w:hint="eastAsia" w:hAnsi="宋体" w:eastAsia="宋体"/>
          <w:sz w:val="24"/>
          <w:szCs w:val="24"/>
        </w:rPr>
        <w:t>）计算，则合成标准不确定度</w:t>
      </w:r>
      <m:oMath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m:rPr/>
              <w:rPr>
                <w:rFonts w:ascii="Cambria Math" w:hAnsi="宋体"/>
                <w:sz w:val="24"/>
              </w:rPr>
              <m:t>u</m:t>
            </m:r>
            <m:ctrlPr>
              <w:rPr>
                <w:rFonts w:ascii="Cambria Math" w:hAnsi="宋体"/>
                <w:i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宋体"/>
                <w:sz w:val="24"/>
              </w:rPr>
              <m:t>c</m:t>
            </m:r>
            <m:ctrlPr>
              <w:rPr>
                <w:rFonts w:ascii="Cambria Math" w:hAnsi="宋体"/>
                <w:i/>
                <w:sz w:val="24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宋体"/>
                <w:sz w:val="24"/>
              </w:rPr>
              <m:t>Δx</m:t>
            </m:r>
            <m:ctrlPr>
              <w:rPr>
                <w:rFonts w:ascii="Cambria Math" w:hAnsi="宋体"/>
                <w:i/>
                <w:sz w:val="24"/>
              </w:rPr>
            </m:ctrlPr>
          </m:e>
        </m:d>
      </m:oMath>
      <w:r>
        <w:rPr>
          <w:rFonts w:hint="eastAsia" w:hAnsi="宋体" w:eastAsia="宋体"/>
          <w:sz w:val="24"/>
          <w:szCs w:val="24"/>
        </w:rPr>
        <w:t>为</w:t>
      </w:r>
    </w:p>
    <w:p w14:paraId="3A5DC995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测量范围(</w:t>
      </w:r>
      <w:r>
        <w:rPr>
          <w:rFonts w:asci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ascii="宋体" w:hAns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</w:rPr>
        <w:t>)</w:t>
      </w:r>
      <w:r>
        <w:rPr>
          <w:rFonts w:ascii="宋体"/>
          <w:sz w:val="24"/>
          <w:szCs w:val="24"/>
        </w:rPr>
        <w:t>µ</w:t>
      </w:r>
      <w:r>
        <w:rPr>
          <w:rFonts w:ascii="宋体" w:hAnsi="宋体" w:cs="宋体"/>
          <w:sz w:val="24"/>
          <w:szCs w:val="24"/>
        </w:rPr>
        <w:t>mol/mol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3B0B3B83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校准点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10.2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m:oMath>
        <m:sSub>
          <m:sSubPr>
            <m:ctrlPr>
              <w:rPr>
                <w:rFonts w:ascii="Cambria Math" w:hAnsi="宋体"/>
                <w:i/>
                <w:color w:val="auto"/>
                <w:sz w:val="24"/>
              </w:rPr>
            </m:ctrlPr>
          </m:sSubPr>
          <m:e>
            <m:r>
              <m:rPr/>
              <w:rPr>
                <w:rFonts w:ascii="Cambria Math" w:hAnsi="宋体"/>
                <w:color w:val="auto"/>
                <w:sz w:val="24"/>
              </w:rPr>
              <m:t>u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c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Δx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e>
        </m:d>
        <m:r>
          <m:rPr>
            <m:sty m:val="p"/>
          </m:rPr>
          <w:rPr>
            <w:rFonts w:ascii="Cambria Math" w:hAnsi="宋体"/>
            <w:color w:val="auto"/>
            <w:sz w:val="24"/>
          </w:rPr>
          <m:t>=</m:t>
        </m:r>
        <m:rad>
          <m:radPr>
            <m:degHide m:val="1"/>
            <m:ctrlPr>
              <w:rPr>
                <w:rFonts w:ascii="Cambria Math" w:hAnsi="宋体"/>
                <w:i/>
                <w:color w:val="auto"/>
                <w:sz w:val="24"/>
              </w:rPr>
            </m:ctrlPr>
          </m:radPr>
          <m:deg>
            <m:ctrlPr>
              <w:rPr>
                <w:rFonts w:ascii="Cambria Math" w:hAnsi="宋体"/>
                <w:i/>
                <w:color w:val="auto"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宋体"/>
                    <w:color w:val="auto"/>
                    <w:sz w:val="24"/>
                  </w:rPr>
                  <m:t>u</m:t>
                </m: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e>
              <m:sup>
                <m:r>
                  <m:rPr/>
                  <w:rPr>
                    <w:rFonts w:ascii="Cambria Math" w:hAnsi="宋体"/>
                    <w:color w:val="auto"/>
                    <w:sz w:val="24"/>
                  </w:rPr>
                  <m:t>2</m:t>
                </m: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(</m:t>
            </m:r>
            <m:bar>
              <m:barPr>
                <m:pos m:val="top"/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宋体"/>
                    <w:color w:val="auto"/>
                    <w:sz w:val="24"/>
                  </w:rPr>
                  <m:t>x</m:t>
                </m: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e>
            </m:bar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pPr>
              <m:e>
                <m:r>
                  <m:rPr/>
                  <w:rPr>
                    <w:rFonts w:hint="eastAsia" w:ascii="Cambria Math" w:hAnsi="Cambria Math"/>
                    <w:color w:val="auto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up>
            </m:sSup>
            <m:d>
              <m:dP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宋体"/>
                        <w:color w:val="auto"/>
                        <w:sz w:val="24"/>
                      </w:rPr>
                      <m:t>x</m:t>
                    </m: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宋体"/>
                        <w:color w:val="auto"/>
                        <w:sz w:val="24"/>
                      </w:rPr>
                      <m:t>s</m:t>
                    </m: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e>
            </m:d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e>
        </m:rad>
      </m:oMath>
      <w:r>
        <w:rPr>
          <w:rFonts w:ascii="宋体" w:hAnsi="宋体" w:cs="宋体"/>
          <w:color w:val="auto"/>
          <w:sz w:val="24"/>
          <w:szCs w:val="24"/>
        </w:rPr>
        <w:t>= 0.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 xml:space="preserve">mol/mol </w:t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027430" cy="344170"/>
            <wp:effectExtent l="0" t="0" r="1270" b="17780"/>
            <wp:docPr id="74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</w:p>
    <w:p w14:paraId="38F6D706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校准点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25.3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m:oMath>
        <m:sSub>
          <m:sSubPr>
            <m:ctrlPr>
              <w:rPr>
                <w:rFonts w:ascii="Cambria Math" w:hAnsi="宋体"/>
                <w:i/>
                <w:color w:val="auto"/>
                <w:sz w:val="24"/>
              </w:rPr>
            </m:ctrlPr>
          </m:sSubPr>
          <m:e>
            <m:r>
              <m:rPr/>
              <w:rPr>
                <w:rFonts w:ascii="Cambria Math" w:hAnsi="宋体"/>
                <w:color w:val="auto"/>
                <w:sz w:val="24"/>
              </w:rPr>
              <m:t>u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c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Δx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e>
        </m:d>
        <m:r>
          <m:rPr>
            <m:sty m:val="p"/>
          </m:rPr>
          <w:rPr>
            <w:rFonts w:ascii="Cambria Math" w:hAnsi="宋体"/>
            <w:color w:val="auto"/>
            <w:sz w:val="24"/>
          </w:rPr>
          <m:t>=</m:t>
        </m:r>
        <m:rad>
          <m:radPr>
            <m:degHide m:val="1"/>
            <m:ctrlPr>
              <w:rPr>
                <w:rFonts w:ascii="Cambria Math" w:hAnsi="宋体"/>
                <w:i/>
                <w:color w:val="auto"/>
                <w:sz w:val="24"/>
              </w:rPr>
            </m:ctrlPr>
          </m:radPr>
          <m:deg>
            <m:ctrlPr>
              <w:rPr>
                <w:rFonts w:ascii="Cambria Math" w:hAnsi="宋体"/>
                <w:i/>
                <w:color w:val="auto"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宋体"/>
                    <w:color w:val="auto"/>
                    <w:sz w:val="24"/>
                  </w:rPr>
                  <m:t>u</m:t>
                </m: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e>
              <m:sup>
                <m:r>
                  <m:rPr/>
                  <w:rPr>
                    <w:rFonts w:ascii="Cambria Math" w:hAnsi="宋体"/>
                    <w:color w:val="auto"/>
                    <w:sz w:val="24"/>
                  </w:rPr>
                  <m:t>2</m:t>
                </m: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(</m:t>
            </m:r>
            <m:bar>
              <m:barPr>
                <m:pos m:val="top"/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宋体"/>
                    <w:color w:val="auto"/>
                    <w:sz w:val="24"/>
                  </w:rPr>
                  <m:t>x</m:t>
                </m: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e>
            </m:bar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pPr>
              <m:e>
                <m:r>
                  <m:rPr/>
                  <w:rPr>
                    <w:rFonts w:hint="eastAsia" w:ascii="Cambria Math" w:hAnsi="Cambria Math"/>
                    <w:color w:val="auto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up>
            </m:sSup>
            <m:d>
              <m:dP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宋体"/>
                        <w:color w:val="auto"/>
                        <w:sz w:val="24"/>
                      </w:rPr>
                      <m:t>x</m:t>
                    </m: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宋体"/>
                        <w:color w:val="auto"/>
                        <w:sz w:val="24"/>
                      </w:rPr>
                      <m:t>s</m:t>
                    </m: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e>
            </m:d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e>
        </m:rad>
        <m:r>
          <m:rPr/>
          <w:rPr>
            <w:rFonts w:ascii="Cambria Math" w:hAnsi="Cambria Math"/>
            <w:color w:val="auto"/>
            <w:sz w:val="24"/>
          </w:rPr>
          <m:t xml:space="preserve"> </m:t>
        </m:r>
      </m:oMath>
      <w:r>
        <w:rPr>
          <w:rFonts w:ascii="宋体" w:hAnsi="宋体" w:cs="宋体"/>
          <w:color w:val="auto"/>
          <w:sz w:val="24"/>
          <w:szCs w:val="24"/>
        </w:rPr>
        <w:t>=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t>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.55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 xml:space="preserve">mol/mol             </w:t>
      </w:r>
    </w:p>
    <w:p w14:paraId="70A3D120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校准点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40.0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m:oMath>
        <m:sSub>
          <m:sSubPr>
            <m:ctrlPr>
              <w:rPr>
                <w:rFonts w:ascii="Cambria Math" w:hAnsi="宋体"/>
                <w:i/>
                <w:color w:val="auto"/>
                <w:sz w:val="24"/>
              </w:rPr>
            </m:ctrlPr>
          </m:sSubPr>
          <m:e>
            <m:r>
              <m:rPr/>
              <w:rPr>
                <w:rFonts w:ascii="Cambria Math" w:hAnsi="宋体"/>
                <w:color w:val="auto"/>
                <w:sz w:val="24"/>
              </w:rPr>
              <m:t>u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c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Δx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e>
        </m:d>
        <m:r>
          <m:rPr>
            <m:sty m:val="p"/>
          </m:rPr>
          <w:rPr>
            <w:rFonts w:ascii="Cambria Math" w:hAnsi="宋体"/>
            <w:color w:val="auto"/>
            <w:sz w:val="24"/>
          </w:rPr>
          <m:t>=</m:t>
        </m:r>
        <m:rad>
          <m:radPr>
            <m:degHide m:val="1"/>
            <m:ctrlPr>
              <w:rPr>
                <w:rFonts w:ascii="Cambria Math" w:hAnsi="宋体"/>
                <w:i/>
                <w:color w:val="auto"/>
                <w:sz w:val="24"/>
              </w:rPr>
            </m:ctrlPr>
          </m:radPr>
          <m:deg>
            <m:ctrlPr>
              <w:rPr>
                <w:rFonts w:ascii="Cambria Math" w:hAnsi="宋体"/>
                <w:i/>
                <w:color w:val="auto"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宋体"/>
                    <w:color w:val="auto"/>
                    <w:sz w:val="24"/>
                  </w:rPr>
                  <m:t>u</m:t>
                </m: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e>
              <m:sup>
                <m:r>
                  <m:rPr/>
                  <w:rPr>
                    <w:rFonts w:ascii="Cambria Math" w:hAnsi="宋体"/>
                    <w:color w:val="auto"/>
                    <w:sz w:val="24"/>
                  </w:rPr>
                  <m:t>2</m:t>
                </m: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sup>
            </m:sSup>
            <m:d>
              <m:dPr>
                <m:ctrlPr>
                  <w:rPr>
                    <w:rFonts w:ascii="Cambria Math" w:hAnsi="宋体"/>
                    <w:color w:val="auto"/>
                    <w:sz w:val="24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宋体"/>
                        <w:color w:val="auto"/>
                        <w:sz w:val="24"/>
                      </w:rPr>
                      <m:t>x</m:t>
                    </m: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e>
                </m:bar>
                <m:ctrlPr>
                  <w:rPr>
                    <w:rFonts w:ascii="Cambria Math" w:hAnsi="宋体"/>
                    <w:color w:val="auto"/>
                    <w:sz w:val="24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pPr>
              <m:e>
                <m:r>
                  <m:rPr/>
                  <w:rPr>
                    <w:rFonts w:hint="eastAsia" w:ascii="Cambria Math" w:hAnsi="Cambria Math"/>
                    <w:color w:val="auto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up>
            </m:sSup>
            <m:d>
              <m:dPr>
                <m:ctrlPr>
                  <w:rPr>
                    <w:rFonts w:ascii="Cambria Math" w:hAnsi="宋体"/>
                    <w:i/>
                    <w:color w:val="auto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宋体"/>
                        <w:color w:val="auto"/>
                        <w:sz w:val="24"/>
                      </w:rPr>
                      <m:t>x</m:t>
                    </m: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宋体"/>
                        <w:color w:val="auto"/>
                        <w:sz w:val="24"/>
                      </w:rPr>
                      <m:t>s</m:t>
                    </m:r>
                    <m:ctrlPr>
                      <w:rPr>
                        <w:rFonts w:ascii="Cambria Math" w:hAnsi="宋体"/>
                        <w:i/>
                        <w:color w:val="auto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e>
            </m:d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e>
        </m:rad>
      </m:oMath>
      <w:r>
        <w:rPr>
          <w:rFonts w:ascii="宋体" w:hAnsi="宋体" w:cs="宋体"/>
          <w:color w:val="auto"/>
          <w:sz w:val="24"/>
          <w:szCs w:val="24"/>
        </w:rPr>
        <w:t xml:space="preserve">=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0.82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 xml:space="preserve">mol/mol           </w:t>
      </w:r>
    </w:p>
    <w:p w14:paraId="579AB18F">
      <w:pPr>
        <w:spacing w:line="360" w:lineRule="auto"/>
        <w:rPr>
          <w:rFonts w:ascii="黑体" w:hAnsi="黑体" w:eastAsia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z w:val="24"/>
          <w:szCs w:val="24"/>
        </w:rPr>
        <w:t>6</w:t>
      </w: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  扩展不确定度</w:t>
      </w:r>
    </w:p>
    <w:p w14:paraId="649A9B61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取包含因子</w:t>
      </w:r>
      <w:r>
        <w:rPr>
          <w:rFonts w:ascii="宋体" w:hAnsi="宋体" w:cs="宋体"/>
          <w:i/>
          <w:iCs/>
          <w:color w:val="auto"/>
          <w:sz w:val="24"/>
          <w:szCs w:val="24"/>
        </w:rPr>
        <w:t>k</w:t>
      </w:r>
      <w:r>
        <w:rPr>
          <w:rFonts w:ascii="宋体" w:hAnsi="宋体" w:cs="宋体"/>
          <w:color w:val="auto"/>
          <w:sz w:val="24"/>
          <w:szCs w:val="24"/>
        </w:rPr>
        <w:t>=2</w:t>
      </w:r>
      <w:r>
        <w:rPr>
          <w:rFonts w:hint="eastAsia" w:ascii="宋体" w:hAnsi="宋体" w:cs="宋体"/>
          <w:color w:val="auto"/>
          <w:sz w:val="24"/>
          <w:szCs w:val="24"/>
        </w:rPr>
        <w:t>，则各点校准结果的扩展不确定度按式</w:t>
      </w:r>
      <w:r>
        <w:rPr>
          <w:rFonts w:ascii="宋体" w:hAnsi="宋体" w:cs="宋体"/>
          <w:color w:val="auto"/>
          <w:sz w:val="24"/>
          <w:szCs w:val="24"/>
        </w:rPr>
        <w:t>(C.7)</w:t>
      </w:r>
      <w:r>
        <w:rPr>
          <w:rFonts w:hint="eastAsia" w:ascii="宋体" w:hAnsi="宋体" w:cs="宋体"/>
          <w:color w:val="auto"/>
          <w:sz w:val="24"/>
          <w:szCs w:val="24"/>
        </w:rPr>
        <w:t>计算：</w:t>
      </w:r>
    </w:p>
    <w:p w14:paraId="1A47CFAD">
      <w:pPr>
        <w:wordWrap w:val="0"/>
        <w:spacing w:line="360" w:lineRule="auto"/>
        <w:ind w:right="480"/>
        <w:jc w:val="righ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position w:val="-30"/>
          <w:sz w:val="24"/>
          <w:szCs w:val="24"/>
        </w:rPr>
        <w:t xml:space="preserve">                           </w:t>
      </w:r>
      <w:r>
        <w:rPr>
          <w:rFonts w:ascii="宋体" w:hAnsi="宋体"/>
          <w:i/>
          <w:iCs/>
          <w:color w:val="auto"/>
          <w:sz w:val="24"/>
          <w:szCs w:val="24"/>
        </w:rPr>
        <w:t>U</w:t>
      </w:r>
      <m:oMath>
        <m:r>
          <m:rPr/>
          <w:rPr>
            <w:rFonts w:ascii="Cambria Math" w:hAnsi="Cambria Math"/>
            <w:color w:val="auto"/>
            <w:sz w:val="24"/>
            <w:szCs w:val="24"/>
          </w:rPr>
          <m:t xml:space="preserve">  </m:t>
        </m:r>
        <m:r>
          <m:rPr/>
          <w:rPr>
            <w:rFonts w:ascii="Cambria Math" w:hAnsi="宋体" w:cs="宋体"/>
            <w:color w:val="auto"/>
            <w:sz w:val="24"/>
            <w:szCs w:val="24"/>
          </w:rPr>
          <m:t>=k</m:t>
        </m:r>
        <m:r>
          <m:rPr/>
          <w:rPr>
            <w:rFonts w:hint="eastAsia" w:ascii="MS Gothic" w:hAnsi="MS Gothic" w:eastAsia="MS Gothic" w:cs="MS Gothic"/>
            <w:color w:val="auto"/>
            <w:sz w:val="24"/>
            <w:szCs w:val="24"/>
          </w:rPr>
          <m:t>⋅</m:t>
        </m:r>
        <w:bookmarkStart w:id="8" w:name="_Hlk86349421"/>
        <m:sSub>
          <m:sSubPr>
            <m:ctrlPr>
              <w:rPr>
                <w:rFonts w:ascii="Cambria Math" w:hAnsi="宋体"/>
                <w:i/>
                <w:color w:val="auto"/>
                <w:sz w:val="24"/>
              </w:rPr>
            </m:ctrlPr>
          </m:sSubPr>
          <m:e>
            <m:r>
              <m:rPr/>
              <w:rPr>
                <w:rFonts w:ascii="Cambria Math" w:hAnsi="宋体"/>
                <w:color w:val="auto"/>
                <w:sz w:val="24"/>
              </w:rPr>
              <m:t>u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c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宋体"/>
                <w:color w:val="auto"/>
                <w:sz w:val="24"/>
              </w:rPr>
              <m:t>Δx</m:t>
            </m:r>
            <m:ctrlPr>
              <w:rPr>
                <w:rFonts w:ascii="Cambria Math" w:hAnsi="宋体"/>
                <w:i/>
                <w:color w:val="auto"/>
                <w:sz w:val="24"/>
              </w:rPr>
            </m:ctrlPr>
          </m:e>
        </m:d>
      </m:oMath>
      <w:bookmarkEnd w:id="8"/>
      <w:r>
        <w:rPr>
          <w:rFonts w:hint="eastAsia" w:ascii="宋体" w:hAnsi="宋体"/>
          <w:color w:val="auto"/>
          <w:position w:val="-30"/>
          <w:sz w:val="24"/>
          <w:szCs w:val="24"/>
        </w:rPr>
        <w:t xml:space="preserve">         </w:t>
      </w:r>
      <w:r>
        <w:rPr>
          <w:rFonts w:hint="eastAsia" w:ascii="宋体" w:hAnsi="宋体"/>
          <w:color w:val="auto"/>
          <w:position w:val="-3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position w:val="-30"/>
          <w:sz w:val="24"/>
          <w:szCs w:val="24"/>
        </w:rPr>
        <w:t xml:space="preserve">     </w:t>
      </w:r>
      <w:r>
        <w:rPr>
          <w:rFonts w:hint="eastAsia" w:ascii="宋体" w:hAnsi="宋体"/>
          <w:color w:val="auto"/>
          <w:position w:val="-3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position w:val="-30"/>
          <w:sz w:val="24"/>
          <w:szCs w:val="24"/>
        </w:rPr>
        <w:t xml:space="preserve">          </w:t>
      </w:r>
      <w:r>
        <w:rPr>
          <w:rFonts w:hint="eastAsia" w:ascii="宋体" w:hAnsi="宋体"/>
          <w:color w:val="auto"/>
          <w:position w:val="-3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t>(7)</w:t>
      </w:r>
    </w:p>
    <w:p w14:paraId="2BE3BD91">
      <w:pPr>
        <w:spacing w:line="360" w:lineRule="auto"/>
        <w:ind w:firstLine="480" w:firstLineChars="200"/>
        <w:textAlignment w:val="center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测量范围(</w:t>
      </w:r>
      <w:r>
        <w:rPr>
          <w:rFonts w:ascii="宋体" w:cs="宋体"/>
          <w:color w:val="auto"/>
          <w:sz w:val="24"/>
          <w:szCs w:val="24"/>
        </w:rPr>
        <w:t>0</w:t>
      </w:r>
      <w:r>
        <w:rPr>
          <w:rFonts w:hint="eastAsia" w:ascii="宋体" w:hAnsi="宋体" w:cs="宋体"/>
          <w:color w:val="auto"/>
          <w:sz w:val="24"/>
          <w:szCs w:val="24"/>
        </w:rPr>
        <w:t>～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ascii="宋体" w:hAnsi="宋体" w:cs="宋体"/>
          <w:color w:val="auto"/>
          <w:sz w:val="24"/>
          <w:szCs w:val="24"/>
        </w:rPr>
        <w:t>0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) 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</w:p>
    <w:p w14:paraId="5AEC2935">
      <w:pPr>
        <w:spacing w:line="360" w:lineRule="auto"/>
        <w:ind w:firstLine="480" w:firstLineChars="200"/>
        <w:textAlignment w:val="center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校准点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10.2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ascii="宋体" w:hAnsi="宋体" w:cs="宋体"/>
          <w:i/>
          <w:iCs/>
          <w:color w:val="auto"/>
          <w:sz w:val="24"/>
          <w:szCs w:val="24"/>
        </w:rPr>
        <w:t xml:space="preserve">U </w:t>
      </w:r>
      <w:r>
        <w:rPr>
          <w:rFonts w:ascii="宋体" w:hAnsi="宋体" w:cs="宋体"/>
          <w:color w:val="auto"/>
          <w:sz w:val="24"/>
          <w:szCs w:val="24"/>
        </w:rPr>
        <w:t>= 0.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52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068705" cy="344170"/>
            <wp:effectExtent l="0" t="0" r="17145" b="1778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separate"/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068705" cy="344170"/>
            <wp:effectExtent l="0" t="0" r="17145" b="1778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  <w:r>
        <w:rPr>
          <w:rFonts w:ascii="宋体" w:hAnsi="宋体" w:cs="宋体"/>
          <w:color w:val="auto"/>
          <w:sz w:val="24"/>
          <w:szCs w:val="24"/>
        </w:rPr>
        <w:fldChar w:fldCharType="separate"/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122045" cy="344170"/>
            <wp:effectExtent l="0" t="0" r="1905" b="1778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mol/mol,</w:t>
      </w:r>
      <w:r>
        <w:rPr>
          <w:rFonts w:ascii="宋体" w:hAnsi="宋体" w:cs="宋体"/>
          <w:i/>
          <w:iCs/>
          <w:color w:val="auto"/>
          <w:sz w:val="24"/>
          <w:szCs w:val="24"/>
        </w:rPr>
        <w:t xml:space="preserve"> k</w:t>
      </w:r>
      <w:r>
        <w:rPr>
          <w:rFonts w:ascii="宋体" w:hAnsi="宋体" w:cs="宋体"/>
          <w:color w:val="auto"/>
          <w:sz w:val="24"/>
          <w:szCs w:val="24"/>
        </w:rPr>
        <w:t>=2</w:t>
      </w:r>
    </w:p>
    <w:p w14:paraId="30F5C5AC">
      <w:pPr>
        <w:spacing w:line="360" w:lineRule="auto"/>
        <w:ind w:firstLine="480" w:firstLineChars="200"/>
        <w:textAlignment w:val="center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校准点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25.3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ascii="宋体" w:hAnsi="宋体" w:cs="宋体"/>
          <w:i/>
          <w:iCs/>
          <w:color w:val="auto"/>
          <w:sz w:val="24"/>
          <w:szCs w:val="24"/>
        </w:rPr>
        <w:t xml:space="preserve">U </w:t>
      </w:r>
      <w:r>
        <w:rPr>
          <w:rFonts w:ascii="宋体" w:hAnsi="宋体" w:cs="宋体"/>
          <w:color w:val="auto"/>
          <w:sz w:val="24"/>
          <w:szCs w:val="24"/>
        </w:rPr>
        <w:t>= 1.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068705" cy="344170"/>
            <wp:effectExtent l="0" t="0" r="17145" b="1778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separate"/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068705" cy="344170"/>
            <wp:effectExtent l="0" t="0" r="17145" b="1778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  <w:r>
        <w:rPr>
          <w:rFonts w:ascii="宋体" w:hAnsi="宋体" w:cs="宋体"/>
          <w:color w:val="auto"/>
          <w:sz w:val="24"/>
          <w:szCs w:val="24"/>
        </w:rPr>
        <w:fldChar w:fldCharType="separate"/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122045" cy="344170"/>
            <wp:effectExtent l="0" t="0" r="1905" b="1778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mol/mol,</w:t>
      </w:r>
      <w:r>
        <w:rPr>
          <w:rFonts w:ascii="宋体" w:hAnsi="宋体" w:cs="宋体"/>
          <w:i/>
          <w:iCs/>
          <w:color w:val="auto"/>
          <w:sz w:val="24"/>
          <w:szCs w:val="24"/>
        </w:rPr>
        <w:t xml:space="preserve"> k</w:t>
      </w:r>
      <w:r>
        <w:rPr>
          <w:rFonts w:ascii="宋体" w:hAnsi="宋体" w:cs="宋体"/>
          <w:color w:val="auto"/>
          <w:sz w:val="24"/>
          <w:szCs w:val="24"/>
        </w:rPr>
        <w:t>=2</w:t>
      </w:r>
    </w:p>
    <w:p w14:paraId="24ED1923">
      <w:pPr>
        <w:spacing w:line="360" w:lineRule="auto"/>
        <w:ind w:firstLine="480" w:firstLineChars="200"/>
        <w:textAlignment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校准点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40.0</w:t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ascii="宋体" w:hAnsi="宋体" w:cs="宋体"/>
          <w:i/>
          <w:iCs/>
          <w:color w:val="auto"/>
          <w:sz w:val="24"/>
          <w:szCs w:val="24"/>
        </w:rPr>
        <w:t xml:space="preserve">U </w:t>
      </w:r>
      <w:r>
        <w:rPr>
          <w:rFonts w:ascii="宋体" w:hAnsi="宋体" w:cs="宋体"/>
          <w:color w:val="auto"/>
          <w:sz w:val="24"/>
          <w:szCs w:val="24"/>
        </w:rPr>
        <w:t xml:space="preserve">=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1.64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068705" cy="344170"/>
            <wp:effectExtent l="0" t="0" r="17145" b="1778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separate"/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068705" cy="344170"/>
            <wp:effectExtent l="0" t="0" r="17145" b="1778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  <w:r>
        <w:rPr>
          <w:rFonts w:ascii="宋体" w:hAnsi="宋体" w:cs="宋体"/>
          <w:color w:val="auto"/>
          <w:sz w:val="24"/>
          <w:szCs w:val="24"/>
        </w:rPr>
        <w:fldChar w:fldCharType="separate"/>
      </w:r>
      <w:r>
        <w:rPr>
          <w:rFonts w:ascii="宋体" w:hAnsi="宋体" w:cs="宋体"/>
          <w:color w:val="auto"/>
          <w:sz w:val="24"/>
          <w:szCs w:val="24"/>
        </w:rPr>
        <w:fldChar w:fldCharType="begin"/>
      </w:r>
      <w:r>
        <w:rPr>
          <w:rFonts w:ascii="宋体" w:hAnsi="宋体" w:cs="宋体"/>
          <w:color w:val="auto"/>
          <w:sz w:val="24"/>
          <w:szCs w:val="24"/>
        </w:rPr>
        <w:instrText xml:space="preserve"> QUOTE </w:instrText>
      </w:r>
      <w:r>
        <w:rPr>
          <w:rFonts w:ascii="宋体"/>
          <w:color w:val="auto"/>
          <w:sz w:val="24"/>
          <w:szCs w:val="24"/>
        </w:rPr>
        <w:drawing>
          <wp:inline distT="0" distB="0" distL="0" distR="0">
            <wp:extent cx="1122045" cy="344170"/>
            <wp:effectExtent l="0" t="0" r="1905" b="1778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  <w:r>
        <w:rPr>
          <w:rFonts w:ascii="宋体" w:hAnsi="宋体" w:cs="宋体"/>
          <w:color w:val="auto"/>
          <w:sz w:val="24"/>
          <w:szCs w:val="24"/>
        </w:rPr>
        <w:fldChar w:fldCharType="end"/>
      </w:r>
      <w:r>
        <w:rPr>
          <w:rFonts w:ascii="宋体"/>
          <w:color w:val="auto"/>
          <w:sz w:val="24"/>
          <w:szCs w:val="24"/>
        </w:rPr>
        <w:t>µ</w:t>
      </w:r>
      <w:r>
        <w:rPr>
          <w:rFonts w:ascii="宋体" w:hAnsi="宋体" w:cs="宋体"/>
          <w:color w:val="auto"/>
          <w:sz w:val="24"/>
          <w:szCs w:val="24"/>
        </w:rPr>
        <w:t>mol/mol,</w:t>
      </w:r>
      <w:r>
        <w:rPr>
          <w:rFonts w:ascii="宋体" w:hAnsi="宋体" w:cs="宋体"/>
          <w:i/>
          <w:iCs/>
          <w:color w:val="auto"/>
          <w:sz w:val="24"/>
          <w:szCs w:val="24"/>
        </w:rPr>
        <w:t xml:space="preserve"> k</w:t>
      </w:r>
      <w:r>
        <w:rPr>
          <w:rFonts w:ascii="宋体" w:hAnsi="宋体" w:cs="宋体"/>
          <w:color w:val="auto"/>
          <w:sz w:val="24"/>
          <w:szCs w:val="24"/>
        </w:rPr>
        <w:t>=2</w:t>
      </w:r>
    </w:p>
    <w:p w14:paraId="7EE4E7D7">
      <w:pPr>
        <w:widowControl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457C65E">
      <w:pPr>
        <w:spacing w:before="120" w:beforeLines="50" w:after="120" w:afterLines="50" w:line="360" w:lineRule="auto"/>
        <w:rPr>
          <w:rFonts w:ascii="黑体" w:hAnsi="Calibri" w:eastAsia="黑体"/>
          <w:color w:val="000000"/>
          <w:spacing w:val="60"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195580</wp:posOffset>
                </wp:positionV>
                <wp:extent cx="14287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4665" y="6128385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2.95pt;margin-top:15.4pt;height:0pt;width:112.5pt;z-index:251666432;mso-width-relative:page;mso-height-relative:page;" filled="f" stroked="t" coordsize="21600,21600" o:gfxdata="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pZco91gAAAAkBAAAPAAAAAAAAAAEAIAAAACIAAABkcnMvZG93bnJldi54bWxQSwECFAAUAAAA&#10;CACHTuJAyDDYK/ABAAC9AwAADgAAAAAAAAABACAAAAAl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10" w:type="default"/>
      <w:footerReference r:id="rId11" w:type="default"/>
      <w:pgSz w:w="11920" w:h="16840"/>
      <w:pgMar w:top="1740" w:right="1420" w:bottom="980" w:left="1320" w:header="1470" w:footer="823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BC679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I</w:t>
    </w:r>
    <w:r>
      <w:fldChar w:fldCharType="end"/>
    </w:r>
  </w:p>
  <w:p w14:paraId="78497CD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D4841">
    <w:pPr>
      <w:pStyle w:val="8"/>
      <w:framePr w:wrap="around" w:vAnchor="text" w:hAnchor="margin" w:xAlign="center" w:y="1"/>
      <w:rPr>
        <w:rStyle w:val="15"/>
      </w:rPr>
    </w:pPr>
  </w:p>
  <w:p w14:paraId="7BF85646">
    <w:pPr>
      <w:pStyle w:val="8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28A45">
    <w:pPr>
      <w:spacing w:line="173" w:lineRule="auto"/>
      <w:ind w:left="33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67CA">
    <w:pPr>
      <w:spacing w:line="173" w:lineRule="auto"/>
      <w:ind w:left="33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0994E">
    <w:pPr>
      <w:spacing w:line="173" w:lineRule="auto"/>
      <w:ind w:left="33" w:firstLine="36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E92D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E92D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170C8">
    <w:pPr>
      <w:pStyle w:val="9"/>
      <w:rPr>
        <w:rFonts w:hint="eastAsia" w:ascii="黑体" w:eastAsia="黑体"/>
        <w:sz w:val="21"/>
        <w:lang w:eastAsia="zh-CN"/>
      </w:rPr>
    </w:pPr>
    <w:r>
      <w:rPr>
        <w:rFonts w:hint="eastAsia" w:ascii="黑体" w:eastAsia="黑体"/>
        <w:bCs/>
        <w:sz w:val="21"/>
      </w:rPr>
      <w:t>JJG（豫）XXXX-202</w:t>
    </w:r>
    <w:r>
      <w:rPr>
        <w:rFonts w:hint="eastAsia" w:ascii="黑体" w:eastAsia="黑体"/>
        <w:bCs/>
        <w:sz w:val="21"/>
        <w:lang w:val="en-US" w:eastAsia="zh-CN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2FA99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BA54B">
    <w:pPr>
      <w:pStyle w:val="9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73901">
    <w:pPr>
      <w:pStyle w:val="9"/>
      <w:pBdr>
        <w:bottom w:val="none" w:color="auto" w:sz="0" w:space="1"/>
      </w:pBdr>
      <w:rPr>
        <w:rFonts w:hint="eastAsia" w:ascii="黑体" w:eastAsia="黑体"/>
        <w:bCs/>
        <w:sz w:val="21"/>
        <w:lang w:eastAsia="zh-CN"/>
      </w:rPr>
    </w:pPr>
    <w:r>
      <w:rPr>
        <w:rFonts w:ascii="黑体" w:eastAsia="黑体"/>
        <w:bCs/>
        <w:sz w:val="21"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869315</wp:posOffset>
          </wp:positionH>
          <wp:positionV relativeFrom="page">
            <wp:posOffset>1104900</wp:posOffset>
          </wp:positionV>
          <wp:extent cx="5829300" cy="127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343" cy="12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eastAsia="黑体"/>
        <w:bCs/>
        <w:sz w:val="21"/>
      </w:rPr>
      <w:t xml:space="preserve"> JJG（豫）XXXX-202</w:t>
    </w:r>
    <w:r>
      <w:rPr>
        <w:rFonts w:hint="eastAsia" w:ascii="黑体" w:eastAsia="黑体"/>
        <w:bCs/>
        <w:sz w:val="21"/>
        <w:lang w:val="en-US" w:eastAsia="zh-CN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0DD08B"/>
    <w:multiLevelType w:val="singleLevel"/>
    <w:tmpl w:val="FA0DD08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D4A762"/>
    <w:multiLevelType w:val="singleLevel"/>
    <w:tmpl w:val="62D4A762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YmRmMGQwYmEzNzdiMDdlMGFhMzBjOTkxY2RlYWEifQ=="/>
  </w:docVars>
  <w:rsids>
    <w:rsidRoot w:val="00172A27"/>
    <w:rsid w:val="00113A27"/>
    <w:rsid w:val="00133648"/>
    <w:rsid w:val="00172A27"/>
    <w:rsid w:val="00176282"/>
    <w:rsid w:val="00176983"/>
    <w:rsid w:val="00282A36"/>
    <w:rsid w:val="002C18B9"/>
    <w:rsid w:val="00336784"/>
    <w:rsid w:val="00344DDE"/>
    <w:rsid w:val="003C17FF"/>
    <w:rsid w:val="003E4C65"/>
    <w:rsid w:val="003F4402"/>
    <w:rsid w:val="0042397B"/>
    <w:rsid w:val="004301AD"/>
    <w:rsid w:val="00454BF3"/>
    <w:rsid w:val="004700AA"/>
    <w:rsid w:val="00491254"/>
    <w:rsid w:val="004D7E43"/>
    <w:rsid w:val="004E641A"/>
    <w:rsid w:val="0050167A"/>
    <w:rsid w:val="00517330"/>
    <w:rsid w:val="00541D82"/>
    <w:rsid w:val="005767A4"/>
    <w:rsid w:val="005963F5"/>
    <w:rsid w:val="005C5A68"/>
    <w:rsid w:val="00621EB6"/>
    <w:rsid w:val="006255C1"/>
    <w:rsid w:val="006360BD"/>
    <w:rsid w:val="006C11A2"/>
    <w:rsid w:val="00712259"/>
    <w:rsid w:val="00747727"/>
    <w:rsid w:val="0075377D"/>
    <w:rsid w:val="007C4EDE"/>
    <w:rsid w:val="007C7299"/>
    <w:rsid w:val="00825CAB"/>
    <w:rsid w:val="008B7FCE"/>
    <w:rsid w:val="00902C2A"/>
    <w:rsid w:val="00A47B18"/>
    <w:rsid w:val="00A97D08"/>
    <w:rsid w:val="00AC1D9A"/>
    <w:rsid w:val="00AC5452"/>
    <w:rsid w:val="00B02727"/>
    <w:rsid w:val="00B21EC1"/>
    <w:rsid w:val="00B6419F"/>
    <w:rsid w:val="00B74A84"/>
    <w:rsid w:val="00B84FF3"/>
    <w:rsid w:val="00B927EC"/>
    <w:rsid w:val="00C22CE2"/>
    <w:rsid w:val="00C35217"/>
    <w:rsid w:val="00C973E5"/>
    <w:rsid w:val="00CC40F6"/>
    <w:rsid w:val="00DA283F"/>
    <w:rsid w:val="00DC09D6"/>
    <w:rsid w:val="00E03D64"/>
    <w:rsid w:val="00E22F27"/>
    <w:rsid w:val="00E449E1"/>
    <w:rsid w:val="00E53E0B"/>
    <w:rsid w:val="00E919A1"/>
    <w:rsid w:val="00EA12AA"/>
    <w:rsid w:val="00EA3712"/>
    <w:rsid w:val="00EC4C8F"/>
    <w:rsid w:val="00EE6901"/>
    <w:rsid w:val="00FA209A"/>
    <w:rsid w:val="01211AD4"/>
    <w:rsid w:val="012A0DD6"/>
    <w:rsid w:val="01395070"/>
    <w:rsid w:val="01422176"/>
    <w:rsid w:val="0187402D"/>
    <w:rsid w:val="018F4FF0"/>
    <w:rsid w:val="019D115B"/>
    <w:rsid w:val="01A3073B"/>
    <w:rsid w:val="01DB4B5B"/>
    <w:rsid w:val="020B1CC1"/>
    <w:rsid w:val="020B47EE"/>
    <w:rsid w:val="026E6057"/>
    <w:rsid w:val="027C16B8"/>
    <w:rsid w:val="028B18FB"/>
    <w:rsid w:val="02DD3A80"/>
    <w:rsid w:val="02FE3E7B"/>
    <w:rsid w:val="032F2286"/>
    <w:rsid w:val="038A7E04"/>
    <w:rsid w:val="03D41080"/>
    <w:rsid w:val="042C2C6A"/>
    <w:rsid w:val="043406BA"/>
    <w:rsid w:val="045301F6"/>
    <w:rsid w:val="046A379A"/>
    <w:rsid w:val="047C774D"/>
    <w:rsid w:val="04C609C8"/>
    <w:rsid w:val="04CE1F73"/>
    <w:rsid w:val="04EE7F1F"/>
    <w:rsid w:val="053242B0"/>
    <w:rsid w:val="05AA653C"/>
    <w:rsid w:val="05ED6429"/>
    <w:rsid w:val="061A5470"/>
    <w:rsid w:val="063127B9"/>
    <w:rsid w:val="06321331"/>
    <w:rsid w:val="0644429B"/>
    <w:rsid w:val="06A967F3"/>
    <w:rsid w:val="06EB3B87"/>
    <w:rsid w:val="070F688B"/>
    <w:rsid w:val="077572C2"/>
    <w:rsid w:val="07911761"/>
    <w:rsid w:val="07C1191B"/>
    <w:rsid w:val="07C5140B"/>
    <w:rsid w:val="07C87109"/>
    <w:rsid w:val="07CB4548"/>
    <w:rsid w:val="07CF228A"/>
    <w:rsid w:val="07EC6998"/>
    <w:rsid w:val="07EC7CB2"/>
    <w:rsid w:val="080F2686"/>
    <w:rsid w:val="0838219F"/>
    <w:rsid w:val="086E2EEA"/>
    <w:rsid w:val="08762705"/>
    <w:rsid w:val="08D25FD1"/>
    <w:rsid w:val="08D77648"/>
    <w:rsid w:val="08E81855"/>
    <w:rsid w:val="09215F64"/>
    <w:rsid w:val="092C7268"/>
    <w:rsid w:val="094B03F6"/>
    <w:rsid w:val="09880942"/>
    <w:rsid w:val="09965ED4"/>
    <w:rsid w:val="09C000DC"/>
    <w:rsid w:val="09C27FC9"/>
    <w:rsid w:val="09F4422A"/>
    <w:rsid w:val="0A5F5B47"/>
    <w:rsid w:val="0A851326"/>
    <w:rsid w:val="0A9652E1"/>
    <w:rsid w:val="0ABE2142"/>
    <w:rsid w:val="0AE45BEA"/>
    <w:rsid w:val="0B5B7E17"/>
    <w:rsid w:val="0B6D6042"/>
    <w:rsid w:val="0B754EF6"/>
    <w:rsid w:val="0BB12CDF"/>
    <w:rsid w:val="0BB579E9"/>
    <w:rsid w:val="0BC11EE9"/>
    <w:rsid w:val="0BCC16C8"/>
    <w:rsid w:val="0C057561"/>
    <w:rsid w:val="0C30706F"/>
    <w:rsid w:val="0C5745FC"/>
    <w:rsid w:val="0C69491A"/>
    <w:rsid w:val="0CE2480D"/>
    <w:rsid w:val="0D58687D"/>
    <w:rsid w:val="0D5D2977"/>
    <w:rsid w:val="0D7C07BE"/>
    <w:rsid w:val="0D985869"/>
    <w:rsid w:val="0D9F44AC"/>
    <w:rsid w:val="0DE6032D"/>
    <w:rsid w:val="0DF742E8"/>
    <w:rsid w:val="0E286250"/>
    <w:rsid w:val="0E2C78C6"/>
    <w:rsid w:val="0E796B19"/>
    <w:rsid w:val="0E9E6512"/>
    <w:rsid w:val="0EAD71C8"/>
    <w:rsid w:val="0EC74241"/>
    <w:rsid w:val="0ED1254D"/>
    <w:rsid w:val="0EF40828"/>
    <w:rsid w:val="0F087E2F"/>
    <w:rsid w:val="0F1A64E0"/>
    <w:rsid w:val="0F4C0664"/>
    <w:rsid w:val="0F5B2655"/>
    <w:rsid w:val="0F8751F8"/>
    <w:rsid w:val="0F920AE3"/>
    <w:rsid w:val="0FCE72CB"/>
    <w:rsid w:val="0FE47A2D"/>
    <w:rsid w:val="10066A65"/>
    <w:rsid w:val="100920B1"/>
    <w:rsid w:val="100D1BA1"/>
    <w:rsid w:val="10142F30"/>
    <w:rsid w:val="1038043C"/>
    <w:rsid w:val="106A2B50"/>
    <w:rsid w:val="107734BE"/>
    <w:rsid w:val="10947BCD"/>
    <w:rsid w:val="10CC4142"/>
    <w:rsid w:val="11146D91"/>
    <w:rsid w:val="11366B29"/>
    <w:rsid w:val="11671785"/>
    <w:rsid w:val="117D4B05"/>
    <w:rsid w:val="12137AE4"/>
    <w:rsid w:val="121C431D"/>
    <w:rsid w:val="121F5BBC"/>
    <w:rsid w:val="12282CC2"/>
    <w:rsid w:val="122F5867"/>
    <w:rsid w:val="12486EC1"/>
    <w:rsid w:val="12497CEF"/>
    <w:rsid w:val="12F9465F"/>
    <w:rsid w:val="130503B5"/>
    <w:rsid w:val="130F3E82"/>
    <w:rsid w:val="13693592"/>
    <w:rsid w:val="137D25F1"/>
    <w:rsid w:val="139647B3"/>
    <w:rsid w:val="139A2BC0"/>
    <w:rsid w:val="13A97E33"/>
    <w:rsid w:val="13E26EA1"/>
    <w:rsid w:val="13F6661D"/>
    <w:rsid w:val="14357918"/>
    <w:rsid w:val="14506500"/>
    <w:rsid w:val="14531B4D"/>
    <w:rsid w:val="147815B3"/>
    <w:rsid w:val="14AC5B87"/>
    <w:rsid w:val="14CD5DA3"/>
    <w:rsid w:val="150317C5"/>
    <w:rsid w:val="1534372C"/>
    <w:rsid w:val="154D43E7"/>
    <w:rsid w:val="154F4A0A"/>
    <w:rsid w:val="15645886"/>
    <w:rsid w:val="157C7F80"/>
    <w:rsid w:val="159B19FD"/>
    <w:rsid w:val="15BD30A7"/>
    <w:rsid w:val="15C54CCC"/>
    <w:rsid w:val="16244315"/>
    <w:rsid w:val="165F6ECF"/>
    <w:rsid w:val="16663DB9"/>
    <w:rsid w:val="166C79E9"/>
    <w:rsid w:val="16CD3E38"/>
    <w:rsid w:val="16D276A1"/>
    <w:rsid w:val="16DF7242"/>
    <w:rsid w:val="16F2564D"/>
    <w:rsid w:val="171B6635"/>
    <w:rsid w:val="173043C7"/>
    <w:rsid w:val="17920BDE"/>
    <w:rsid w:val="17BF6981"/>
    <w:rsid w:val="17DD62FD"/>
    <w:rsid w:val="17EF1AA9"/>
    <w:rsid w:val="17F35B20"/>
    <w:rsid w:val="184B7459"/>
    <w:rsid w:val="185760AF"/>
    <w:rsid w:val="18622CA6"/>
    <w:rsid w:val="18700F1F"/>
    <w:rsid w:val="18842C1C"/>
    <w:rsid w:val="1890511D"/>
    <w:rsid w:val="192869E4"/>
    <w:rsid w:val="192F0DDA"/>
    <w:rsid w:val="193755F2"/>
    <w:rsid w:val="19481E9C"/>
    <w:rsid w:val="19650358"/>
    <w:rsid w:val="19793E03"/>
    <w:rsid w:val="19B66E06"/>
    <w:rsid w:val="19DC4392"/>
    <w:rsid w:val="19F351B3"/>
    <w:rsid w:val="1A1B310D"/>
    <w:rsid w:val="1A5D1977"/>
    <w:rsid w:val="1A8213DE"/>
    <w:rsid w:val="1A840CB2"/>
    <w:rsid w:val="1A880CA7"/>
    <w:rsid w:val="1AE31E7C"/>
    <w:rsid w:val="1AF20311"/>
    <w:rsid w:val="1B4B7A22"/>
    <w:rsid w:val="1BAB2876"/>
    <w:rsid w:val="1BB6133F"/>
    <w:rsid w:val="1BD338B3"/>
    <w:rsid w:val="1C16002F"/>
    <w:rsid w:val="1C8276E4"/>
    <w:rsid w:val="1C931680"/>
    <w:rsid w:val="1D4961E3"/>
    <w:rsid w:val="1D7019C1"/>
    <w:rsid w:val="1D927B8A"/>
    <w:rsid w:val="1DA11B7B"/>
    <w:rsid w:val="1DA80806"/>
    <w:rsid w:val="1DA84CB7"/>
    <w:rsid w:val="1DCB3248"/>
    <w:rsid w:val="1DD737EE"/>
    <w:rsid w:val="1E5D5D64"/>
    <w:rsid w:val="1E693EC0"/>
    <w:rsid w:val="1E82375A"/>
    <w:rsid w:val="1EB422E6"/>
    <w:rsid w:val="1EE24913"/>
    <w:rsid w:val="1EFA5D83"/>
    <w:rsid w:val="1F10520A"/>
    <w:rsid w:val="1F121E35"/>
    <w:rsid w:val="1F470500"/>
    <w:rsid w:val="1F60300B"/>
    <w:rsid w:val="1FB75686"/>
    <w:rsid w:val="1FDA1374"/>
    <w:rsid w:val="1FFB1A16"/>
    <w:rsid w:val="20251A14"/>
    <w:rsid w:val="203647FC"/>
    <w:rsid w:val="209239FD"/>
    <w:rsid w:val="20B103DE"/>
    <w:rsid w:val="20D109C9"/>
    <w:rsid w:val="21336F8E"/>
    <w:rsid w:val="213F1DD6"/>
    <w:rsid w:val="21477015"/>
    <w:rsid w:val="21893052"/>
    <w:rsid w:val="2193671F"/>
    <w:rsid w:val="21984C7D"/>
    <w:rsid w:val="21C10A3D"/>
    <w:rsid w:val="21CD73E2"/>
    <w:rsid w:val="223534C9"/>
    <w:rsid w:val="22635651"/>
    <w:rsid w:val="226A2E83"/>
    <w:rsid w:val="22BA0046"/>
    <w:rsid w:val="22E87A3C"/>
    <w:rsid w:val="22F17100"/>
    <w:rsid w:val="22F866E1"/>
    <w:rsid w:val="22FF7A6F"/>
    <w:rsid w:val="23144B9D"/>
    <w:rsid w:val="23294D16"/>
    <w:rsid w:val="233C481F"/>
    <w:rsid w:val="23502079"/>
    <w:rsid w:val="236615F7"/>
    <w:rsid w:val="2383244E"/>
    <w:rsid w:val="239301B8"/>
    <w:rsid w:val="23B720F8"/>
    <w:rsid w:val="23DF176E"/>
    <w:rsid w:val="23E40A13"/>
    <w:rsid w:val="242A28CA"/>
    <w:rsid w:val="24407D4D"/>
    <w:rsid w:val="245B6F27"/>
    <w:rsid w:val="245E4322"/>
    <w:rsid w:val="24607E62"/>
    <w:rsid w:val="24660937"/>
    <w:rsid w:val="247B1377"/>
    <w:rsid w:val="248F097F"/>
    <w:rsid w:val="24B87533"/>
    <w:rsid w:val="24C04FDC"/>
    <w:rsid w:val="24D52C33"/>
    <w:rsid w:val="24EC5DD1"/>
    <w:rsid w:val="25333A00"/>
    <w:rsid w:val="254C061E"/>
    <w:rsid w:val="2584600A"/>
    <w:rsid w:val="25CB1E8B"/>
    <w:rsid w:val="25DD3DEF"/>
    <w:rsid w:val="25F3318F"/>
    <w:rsid w:val="2604539D"/>
    <w:rsid w:val="261C66B1"/>
    <w:rsid w:val="26282E39"/>
    <w:rsid w:val="262A4E03"/>
    <w:rsid w:val="265F25D3"/>
    <w:rsid w:val="271D0835"/>
    <w:rsid w:val="27583E5E"/>
    <w:rsid w:val="27693709"/>
    <w:rsid w:val="27C272BD"/>
    <w:rsid w:val="27C44DE4"/>
    <w:rsid w:val="27C546B8"/>
    <w:rsid w:val="27D52B4D"/>
    <w:rsid w:val="283E4B96"/>
    <w:rsid w:val="284B72B3"/>
    <w:rsid w:val="289E3E57"/>
    <w:rsid w:val="28C14310"/>
    <w:rsid w:val="28C57065"/>
    <w:rsid w:val="28FF2BE4"/>
    <w:rsid w:val="292A035B"/>
    <w:rsid w:val="293A3114"/>
    <w:rsid w:val="295E3016"/>
    <w:rsid w:val="298A5CE1"/>
    <w:rsid w:val="298F31CF"/>
    <w:rsid w:val="299B1B74"/>
    <w:rsid w:val="29B80978"/>
    <w:rsid w:val="2A0B6CFA"/>
    <w:rsid w:val="2A177A80"/>
    <w:rsid w:val="2A4E308A"/>
    <w:rsid w:val="2A6E7289"/>
    <w:rsid w:val="2A8D5961"/>
    <w:rsid w:val="2A8D6C69"/>
    <w:rsid w:val="2AD215C5"/>
    <w:rsid w:val="2AE17A5A"/>
    <w:rsid w:val="2AF7727E"/>
    <w:rsid w:val="2B3202B6"/>
    <w:rsid w:val="2B3758CC"/>
    <w:rsid w:val="2B7600E5"/>
    <w:rsid w:val="2B956A91"/>
    <w:rsid w:val="2BC468B8"/>
    <w:rsid w:val="2BD80E5D"/>
    <w:rsid w:val="2BE772F2"/>
    <w:rsid w:val="2BFC2593"/>
    <w:rsid w:val="2C411C07"/>
    <w:rsid w:val="2C892158"/>
    <w:rsid w:val="2CAD72A4"/>
    <w:rsid w:val="2CDF5067"/>
    <w:rsid w:val="2CE26733"/>
    <w:rsid w:val="2D1E66F8"/>
    <w:rsid w:val="2D340A89"/>
    <w:rsid w:val="2D3447B9"/>
    <w:rsid w:val="2D4F5C4B"/>
    <w:rsid w:val="2D661316"/>
    <w:rsid w:val="2D6B1B0F"/>
    <w:rsid w:val="2D962DC3"/>
    <w:rsid w:val="2DA336ED"/>
    <w:rsid w:val="2DBD47AF"/>
    <w:rsid w:val="2DDC5888"/>
    <w:rsid w:val="2E0C5D26"/>
    <w:rsid w:val="2E255EB0"/>
    <w:rsid w:val="2E3074DD"/>
    <w:rsid w:val="2E5C3FC8"/>
    <w:rsid w:val="2E7745CB"/>
    <w:rsid w:val="2E89643F"/>
    <w:rsid w:val="2E9077CD"/>
    <w:rsid w:val="2E954DE4"/>
    <w:rsid w:val="2E996F2D"/>
    <w:rsid w:val="2EB711FE"/>
    <w:rsid w:val="2EBA6F40"/>
    <w:rsid w:val="2EF7784D"/>
    <w:rsid w:val="2F146650"/>
    <w:rsid w:val="2F3A042F"/>
    <w:rsid w:val="2F3E6592"/>
    <w:rsid w:val="2F556052"/>
    <w:rsid w:val="2F5B427F"/>
    <w:rsid w:val="2FA9075E"/>
    <w:rsid w:val="2FB43990"/>
    <w:rsid w:val="2FCC2A1D"/>
    <w:rsid w:val="2FEA5603"/>
    <w:rsid w:val="301306B6"/>
    <w:rsid w:val="301601A6"/>
    <w:rsid w:val="30450A8C"/>
    <w:rsid w:val="30B874AF"/>
    <w:rsid w:val="30C6397A"/>
    <w:rsid w:val="30F71D86"/>
    <w:rsid w:val="311F752F"/>
    <w:rsid w:val="31440D43"/>
    <w:rsid w:val="318E5EE3"/>
    <w:rsid w:val="318F1FBE"/>
    <w:rsid w:val="31A0546B"/>
    <w:rsid w:val="31BD2EA3"/>
    <w:rsid w:val="31C851B2"/>
    <w:rsid w:val="31FB58A6"/>
    <w:rsid w:val="3200110E"/>
    <w:rsid w:val="3261537E"/>
    <w:rsid w:val="32652290"/>
    <w:rsid w:val="328F6C32"/>
    <w:rsid w:val="32A47CEB"/>
    <w:rsid w:val="32B141B6"/>
    <w:rsid w:val="33044C2E"/>
    <w:rsid w:val="33296443"/>
    <w:rsid w:val="3337290D"/>
    <w:rsid w:val="33527747"/>
    <w:rsid w:val="33D01002"/>
    <w:rsid w:val="33F00D0E"/>
    <w:rsid w:val="341964B7"/>
    <w:rsid w:val="342015F4"/>
    <w:rsid w:val="34515C51"/>
    <w:rsid w:val="34711E4F"/>
    <w:rsid w:val="34DF325D"/>
    <w:rsid w:val="354507A4"/>
    <w:rsid w:val="35A818A1"/>
    <w:rsid w:val="35D60949"/>
    <w:rsid w:val="35DA2CC1"/>
    <w:rsid w:val="35E87EEF"/>
    <w:rsid w:val="360311CD"/>
    <w:rsid w:val="36851BE2"/>
    <w:rsid w:val="369B1405"/>
    <w:rsid w:val="36D3294D"/>
    <w:rsid w:val="36EA5EE9"/>
    <w:rsid w:val="36FD3E6E"/>
    <w:rsid w:val="37337890"/>
    <w:rsid w:val="377D0B0B"/>
    <w:rsid w:val="379A7303"/>
    <w:rsid w:val="37B41A40"/>
    <w:rsid w:val="37BA68D2"/>
    <w:rsid w:val="37BE0740"/>
    <w:rsid w:val="37E312B6"/>
    <w:rsid w:val="37FC66B6"/>
    <w:rsid w:val="381761BF"/>
    <w:rsid w:val="386A108F"/>
    <w:rsid w:val="386C03E8"/>
    <w:rsid w:val="388163D9"/>
    <w:rsid w:val="3899291B"/>
    <w:rsid w:val="38AF2F46"/>
    <w:rsid w:val="38BF60E4"/>
    <w:rsid w:val="38C84997"/>
    <w:rsid w:val="39437493"/>
    <w:rsid w:val="39516E6D"/>
    <w:rsid w:val="39DF5AAD"/>
    <w:rsid w:val="3A135C74"/>
    <w:rsid w:val="3A3E6C77"/>
    <w:rsid w:val="3A716B25"/>
    <w:rsid w:val="3A8B7A04"/>
    <w:rsid w:val="3A993795"/>
    <w:rsid w:val="3AAC1E33"/>
    <w:rsid w:val="3B135A0E"/>
    <w:rsid w:val="3B6D7D4D"/>
    <w:rsid w:val="3B7B1805"/>
    <w:rsid w:val="3BE13471"/>
    <w:rsid w:val="3BE63123"/>
    <w:rsid w:val="3C44609B"/>
    <w:rsid w:val="3C591B47"/>
    <w:rsid w:val="3CA54D8C"/>
    <w:rsid w:val="3D0715A3"/>
    <w:rsid w:val="3D533C89"/>
    <w:rsid w:val="3D5A02D4"/>
    <w:rsid w:val="3D8E75CE"/>
    <w:rsid w:val="3DBF1E7D"/>
    <w:rsid w:val="3DC56D68"/>
    <w:rsid w:val="3E334E4F"/>
    <w:rsid w:val="3E6334E7"/>
    <w:rsid w:val="3EA14EE6"/>
    <w:rsid w:val="3EEB7D9E"/>
    <w:rsid w:val="3F052CF0"/>
    <w:rsid w:val="3F32667F"/>
    <w:rsid w:val="3F3B19D7"/>
    <w:rsid w:val="3F577E93"/>
    <w:rsid w:val="3F84512C"/>
    <w:rsid w:val="3F8C5D8F"/>
    <w:rsid w:val="3FA0183A"/>
    <w:rsid w:val="3FA23805"/>
    <w:rsid w:val="3FB86F7A"/>
    <w:rsid w:val="3FE21E53"/>
    <w:rsid w:val="3FF43934"/>
    <w:rsid w:val="40204729"/>
    <w:rsid w:val="40224945"/>
    <w:rsid w:val="40491ED2"/>
    <w:rsid w:val="40752CC7"/>
    <w:rsid w:val="40774C91"/>
    <w:rsid w:val="407D6153"/>
    <w:rsid w:val="40980764"/>
    <w:rsid w:val="40B51316"/>
    <w:rsid w:val="40BA692C"/>
    <w:rsid w:val="40BD5EA7"/>
    <w:rsid w:val="4114428E"/>
    <w:rsid w:val="412B15D8"/>
    <w:rsid w:val="413E57AF"/>
    <w:rsid w:val="415220D4"/>
    <w:rsid w:val="41562AF9"/>
    <w:rsid w:val="41AA4BF2"/>
    <w:rsid w:val="41F52311"/>
    <w:rsid w:val="42073DF3"/>
    <w:rsid w:val="42166575"/>
    <w:rsid w:val="42310E70"/>
    <w:rsid w:val="424566C9"/>
    <w:rsid w:val="42703746"/>
    <w:rsid w:val="42872C3E"/>
    <w:rsid w:val="428B4A24"/>
    <w:rsid w:val="429D6505"/>
    <w:rsid w:val="429F402B"/>
    <w:rsid w:val="42AF5166"/>
    <w:rsid w:val="42ED4D97"/>
    <w:rsid w:val="434075BC"/>
    <w:rsid w:val="439A4D79"/>
    <w:rsid w:val="43C71A8C"/>
    <w:rsid w:val="443D3AFC"/>
    <w:rsid w:val="446C318F"/>
    <w:rsid w:val="447F165D"/>
    <w:rsid w:val="44E93C84"/>
    <w:rsid w:val="453C76F4"/>
    <w:rsid w:val="45550FD5"/>
    <w:rsid w:val="45703A5D"/>
    <w:rsid w:val="462F1B6A"/>
    <w:rsid w:val="46764222"/>
    <w:rsid w:val="467D6601"/>
    <w:rsid w:val="468477C0"/>
    <w:rsid w:val="46AB4F07"/>
    <w:rsid w:val="46CC1167"/>
    <w:rsid w:val="47095F17"/>
    <w:rsid w:val="4732546E"/>
    <w:rsid w:val="477F0C1B"/>
    <w:rsid w:val="4780267D"/>
    <w:rsid w:val="47C307BC"/>
    <w:rsid w:val="47E250E6"/>
    <w:rsid w:val="47F033E5"/>
    <w:rsid w:val="47F0477D"/>
    <w:rsid w:val="48117653"/>
    <w:rsid w:val="48154C73"/>
    <w:rsid w:val="481B05F8"/>
    <w:rsid w:val="483F42E6"/>
    <w:rsid w:val="4843676A"/>
    <w:rsid w:val="4854604A"/>
    <w:rsid w:val="48763A80"/>
    <w:rsid w:val="48861F15"/>
    <w:rsid w:val="48A4239B"/>
    <w:rsid w:val="48AD5D13"/>
    <w:rsid w:val="48BD16AF"/>
    <w:rsid w:val="4934615D"/>
    <w:rsid w:val="4968513E"/>
    <w:rsid w:val="498E0956"/>
    <w:rsid w:val="499C3073"/>
    <w:rsid w:val="49A14B2D"/>
    <w:rsid w:val="49B54134"/>
    <w:rsid w:val="49C03205"/>
    <w:rsid w:val="4A070E34"/>
    <w:rsid w:val="4A352158"/>
    <w:rsid w:val="4A6873F9"/>
    <w:rsid w:val="4A6C0C97"/>
    <w:rsid w:val="4AB16FF2"/>
    <w:rsid w:val="4AEE78FE"/>
    <w:rsid w:val="4B3043BA"/>
    <w:rsid w:val="4B5F6A4E"/>
    <w:rsid w:val="4B92472D"/>
    <w:rsid w:val="4BA91A77"/>
    <w:rsid w:val="4BBA0128"/>
    <w:rsid w:val="4BD51E42"/>
    <w:rsid w:val="4BDA1856"/>
    <w:rsid w:val="4BDA60D4"/>
    <w:rsid w:val="4BE64A79"/>
    <w:rsid w:val="4BF26091"/>
    <w:rsid w:val="4BFE0015"/>
    <w:rsid w:val="4C332669"/>
    <w:rsid w:val="4C8229F4"/>
    <w:rsid w:val="4C940979"/>
    <w:rsid w:val="4CF65190"/>
    <w:rsid w:val="4D31011B"/>
    <w:rsid w:val="4D3A1520"/>
    <w:rsid w:val="4D3A32CE"/>
    <w:rsid w:val="4D5D0D6B"/>
    <w:rsid w:val="4DAC584E"/>
    <w:rsid w:val="4DF27705"/>
    <w:rsid w:val="4E2A50F1"/>
    <w:rsid w:val="4E50267E"/>
    <w:rsid w:val="4E6353F7"/>
    <w:rsid w:val="4EA03605"/>
    <w:rsid w:val="4EB33338"/>
    <w:rsid w:val="4EC07803"/>
    <w:rsid w:val="4EEF086A"/>
    <w:rsid w:val="4EF179BD"/>
    <w:rsid w:val="4EF2597B"/>
    <w:rsid w:val="4EFE5CE5"/>
    <w:rsid w:val="4F537DC1"/>
    <w:rsid w:val="4F6700F2"/>
    <w:rsid w:val="4F786330"/>
    <w:rsid w:val="502D5AD3"/>
    <w:rsid w:val="50406E4E"/>
    <w:rsid w:val="50416722"/>
    <w:rsid w:val="50483F54"/>
    <w:rsid w:val="50B25A3B"/>
    <w:rsid w:val="50B9482A"/>
    <w:rsid w:val="511165F9"/>
    <w:rsid w:val="512978E2"/>
    <w:rsid w:val="5151508A"/>
    <w:rsid w:val="51711289"/>
    <w:rsid w:val="5176064D"/>
    <w:rsid w:val="518E7E3D"/>
    <w:rsid w:val="51CF1484"/>
    <w:rsid w:val="51D71BB5"/>
    <w:rsid w:val="51F33741"/>
    <w:rsid w:val="523D116B"/>
    <w:rsid w:val="527F1783"/>
    <w:rsid w:val="529539E9"/>
    <w:rsid w:val="529945F3"/>
    <w:rsid w:val="52C8312A"/>
    <w:rsid w:val="53874D93"/>
    <w:rsid w:val="53C75152"/>
    <w:rsid w:val="53F02939"/>
    <w:rsid w:val="53F112C3"/>
    <w:rsid w:val="54176117"/>
    <w:rsid w:val="541A79B6"/>
    <w:rsid w:val="54210D44"/>
    <w:rsid w:val="54396FBB"/>
    <w:rsid w:val="544224A2"/>
    <w:rsid w:val="54457082"/>
    <w:rsid w:val="54B971CF"/>
    <w:rsid w:val="54BC146D"/>
    <w:rsid w:val="54FC08D6"/>
    <w:rsid w:val="551B5793"/>
    <w:rsid w:val="554C3B9F"/>
    <w:rsid w:val="5589522B"/>
    <w:rsid w:val="55986DE4"/>
    <w:rsid w:val="559E63C4"/>
    <w:rsid w:val="55AE5EB3"/>
    <w:rsid w:val="55B61960"/>
    <w:rsid w:val="55D73FF9"/>
    <w:rsid w:val="55EA396A"/>
    <w:rsid w:val="561B735E"/>
    <w:rsid w:val="562619C4"/>
    <w:rsid w:val="562C577E"/>
    <w:rsid w:val="563665FD"/>
    <w:rsid w:val="567E7EC5"/>
    <w:rsid w:val="56813D1C"/>
    <w:rsid w:val="56C34335"/>
    <w:rsid w:val="56ED2C4C"/>
    <w:rsid w:val="570861EB"/>
    <w:rsid w:val="571B3E8B"/>
    <w:rsid w:val="5785783C"/>
    <w:rsid w:val="578D049F"/>
    <w:rsid w:val="57AE0B41"/>
    <w:rsid w:val="57B12AC7"/>
    <w:rsid w:val="57CA34A1"/>
    <w:rsid w:val="58090632"/>
    <w:rsid w:val="58613E05"/>
    <w:rsid w:val="58851485"/>
    <w:rsid w:val="591A3FB4"/>
    <w:rsid w:val="59462FFB"/>
    <w:rsid w:val="59605E6B"/>
    <w:rsid w:val="596A4F3B"/>
    <w:rsid w:val="59771406"/>
    <w:rsid w:val="59831B59"/>
    <w:rsid w:val="59B44408"/>
    <w:rsid w:val="59E06FAB"/>
    <w:rsid w:val="59F842F5"/>
    <w:rsid w:val="5A182090"/>
    <w:rsid w:val="5A315A59"/>
    <w:rsid w:val="5A334C7D"/>
    <w:rsid w:val="5A4C63EF"/>
    <w:rsid w:val="5A69199F"/>
    <w:rsid w:val="5A7A2F5C"/>
    <w:rsid w:val="5A902780"/>
    <w:rsid w:val="5A9A1850"/>
    <w:rsid w:val="5AC661A1"/>
    <w:rsid w:val="5AF07EDB"/>
    <w:rsid w:val="5B1B724B"/>
    <w:rsid w:val="5B461090"/>
    <w:rsid w:val="5B4B2B4A"/>
    <w:rsid w:val="5B4B48F9"/>
    <w:rsid w:val="5B523ED9"/>
    <w:rsid w:val="5B6A1223"/>
    <w:rsid w:val="5B770342"/>
    <w:rsid w:val="5B7C4A37"/>
    <w:rsid w:val="5B975D90"/>
    <w:rsid w:val="5BBB7CD0"/>
    <w:rsid w:val="5C1967A5"/>
    <w:rsid w:val="5C2018E1"/>
    <w:rsid w:val="5C245875"/>
    <w:rsid w:val="5C317F92"/>
    <w:rsid w:val="5C531CB7"/>
    <w:rsid w:val="5C996BCF"/>
    <w:rsid w:val="5CAB1AF3"/>
    <w:rsid w:val="5D094A6B"/>
    <w:rsid w:val="5D165BD2"/>
    <w:rsid w:val="5D303DA6"/>
    <w:rsid w:val="5D3970FE"/>
    <w:rsid w:val="5D3F223B"/>
    <w:rsid w:val="5D4930BA"/>
    <w:rsid w:val="5D535CE6"/>
    <w:rsid w:val="5D6D4FFA"/>
    <w:rsid w:val="5D876F67"/>
    <w:rsid w:val="5DBF512A"/>
    <w:rsid w:val="5DC42740"/>
    <w:rsid w:val="5DEC453C"/>
    <w:rsid w:val="5DF64FF0"/>
    <w:rsid w:val="5E033269"/>
    <w:rsid w:val="5E067761"/>
    <w:rsid w:val="5E2F64E9"/>
    <w:rsid w:val="5E440D30"/>
    <w:rsid w:val="5E693A13"/>
    <w:rsid w:val="5E7B3747"/>
    <w:rsid w:val="5ED9420D"/>
    <w:rsid w:val="5EE65064"/>
    <w:rsid w:val="5F0C6580"/>
    <w:rsid w:val="5F2636B2"/>
    <w:rsid w:val="5F2B6F1B"/>
    <w:rsid w:val="5F4A0C6E"/>
    <w:rsid w:val="5F7C32D2"/>
    <w:rsid w:val="5F8E3006"/>
    <w:rsid w:val="5F9525E6"/>
    <w:rsid w:val="6093593D"/>
    <w:rsid w:val="60A725D1"/>
    <w:rsid w:val="60AA0313"/>
    <w:rsid w:val="60AC7BE7"/>
    <w:rsid w:val="60BD5461"/>
    <w:rsid w:val="60D13AF2"/>
    <w:rsid w:val="60F35816"/>
    <w:rsid w:val="613320B7"/>
    <w:rsid w:val="61590087"/>
    <w:rsid w:val="619A2136"/>
    <w:rsid w:val="61C5137D"/>
    <w:rsid w:val="61C57294"/>
    <w:rsid w:val="61E10D7B"/>
    <w:rsid w:val="62056F76"/>
    <w:rsid w:val="623600B0"/>
    <w:rsid w:val="62525A2C"/>
    <w:rsid w:val="62571DD5"/>
    <w:rsid w:val="62A274F4"/>
    <w:rsid w:val="62CA25A7"/>
    <w:rsid w:val="62FB6C04"/>
    <w:rsid w:val="631101D6"/>
    <w:rsid w:val="631877B6"/>
    <w:rsid w:val="632E6FDA"/>
    <w:rsid w:val="634265E1"/>
    <w:rsid w:val="636D6196"/>
    <w:rsid w:val="63911253"/>
    <w:rsid w:val="642B52C7"/>
    <w:rsid w:val="64836EB1"/>
    <w:rsid w:val="64A532CB"/>
    <w:rsid w:val="64A62BA0"/>
    <w:rsid w:val="64C577C1"/>
    <w:rsid w:val="64CE15B4"/>
    <w:rsid w:val="64E738E4"/>
    <w:rsid w:val="65102E3B"/>
    <w:rsid w:val="65A4126D"/>
    <w:rsid w:val="65F067C8"/>
    <w:rsid w:val="66967370"/>
    <w:rsid w:val="669B2BD8"/>
    <w:rsid w:val="66B547ED"/>
    <w:rsid w:val="66B6356E"/>
    <w:rsid w:val="67386535"/>
    <w:rsid w:val="677F6056"/>
    <w:rsid w:val="678C42CF"/>
    <w:rsid w:val="67AA3D7D"/>
    <w:rsid w:val="67B759B6"/>
    <w:rsid w:val="67CE48E7"/>
    <w:rsid w:val="68071BA7"/>
    <w:rsid w:val="68537232"/>
    <w:rsid w:val="688118C1"/>
    <w:rsid w:val="68B41D2F"/>
    <w:rsid w:val="68E048D2"/>
    <w:rsid w:val="68F20AA9"/>
    <w:rsid w:val="6906799C"/>
    <w:rsid w:val="691E364C"/>
    <w:rsid w:val="692F585A"/>
    <w:rsid w:val="695B21AB"/>
    <w:rsid w:val="696A6892"/>
    <w:rsid w:val="69703D4D"/>
    <w:rsid w:val="69D4109F"/>
    <w:rsid w:val="6A09415D"/>
    <w:rsid w:val="6AC65D4A"/>
    <w:rsid w:val="6B4C26F3"/>
    <w:rsid w:val="6B8005EE"/>
    <w:rsid w:val="6BB07E6A"/>
    <w:rsid w:val="6BD821D8"/>
    <w:rsid w:val="6BE160D8"/>
    <w:rsid w:val="6BEE37AA"/>
    <w:rsid w:val="6BEF396D"/>
    <w:rsid w:val="6BF07522"/>
    <w:rsid w:val="6C515AE7"/>
    <w:rsid w:val="6C783074"/>
    <w:rsid w:val="6CCA0E24"/>
    <w:rsid w:val="6D965EA7"/>
    <w:rsid w:val="6D97577B"/>
    <w:rsid w:val="6DA2061A"/>
    <w:rsid w:val="6DAC6AD6"/>
    <w:rsid w:val="6DAF51BB"/>
    <w:rsid w:val="6DB4457F"/>
    <w:rsid w:val="6DC42A14"/>
    <w:rsid w:val="6DC9002B"/>
    <w:rsid w:val="6E0D5DB5"/>
    <w:rsid w:val="6E1D0376"/>
    <w:rsid w:val="6EA469ED"/>
    <w:rsid w:val="6EB81E4D"/>
    <w:rsid w:val="6EDA6267"/>
    <w:rsid w:val="6F103A37"/>
    <w:rsid w:val="6F5D5C7F"/>
    <w:rsid w:val="6F60676D"/>
    <w:rsid w:val="6F72337C"/>
    <w:rsid w:val="6F7E4E45"/>
    <w:rsid w:val="6F97681A"/>
    <w:rsid w:val="6F9D176F"/>
    <w:rsid w:val="70381C1C"/>
    <w:rsid w:val="706109EE"/>
    <w:rsid w:val="708319D8"/>
    <w:rsid w:val="7087438B"/>
    <w:rsid w:val="708F6BDE"/>
    <w:rsid w:val="70F01D72"/>
    <w:rsid w:val="711F7FE3"/>
    <w:rsid w:val="71461992"/>
    <w:rsid w:val="717410B3"/>
    <w:rsid w:val="71781795"/>
    <w:rsid w:val="71BC3A02"/>
    <w:rsid w:val="71CB4BFC"/>
    <w:rsid w:val="71D60F68"/>
    <w:rsid w:val="71FE401B"/>
    <w:rsid w:val="721F6F7D"/>
    <w:rsid w:val="72250A97"/>
    <w:rsid w:val="727644F9"/>
    <w:rsid w:val="728F12F7"/>
    <w:rsid w:val="72B15531"/>
    <w:rsid w:val="72B27959"/>
    <w:rsid w:val="73353A6C"/>
    <w:rsid w:val="735008A6"/>
    <w:rsid w:val="736E5255"/>
    <w:rsid w:val="738571AA"/>
    <w:rsid w:val="738844E4"/>
    <w:rsid w:val="738A62DB"/>
    <w:rsid w:val="739A7D73"/>
    <w:rsid w:val="73F531FC"/>
    <w:rsid w:val="741C5E40"/>
    <w:rsid w:val="74305578"/>
    <w:rsid w:val="74744A68"/>
    <w:rsid w:val="749A44CF"/>
    <w:rsid w:val="74D11159"/>
    <w:rsid w:val="74D177C5"/>
    <w:rsid w:val="74D3353D"/>
    <w:rsid w:val="74DC48C7"/>
    <w:rsid w:val="75624523"/>
    <w:rsid w:val="759A1C61"/>
    <w:rsid w:val="75AB6268"/>
    <w:rsid w:val="75ED062E"/>
    <w:rsid w:val="75F1669B"/>
    <w:rsid w:val="75F93477"/>
    <w:rsid w:val="76195AFD"/>
    <w:rsid w:val="762559C9"/>
    <w:rsid w:val="762A53DF"/>
    <w:rsid w:val="764741E2"/>
    <w:rsid w:val="764861AD"/>
    <w:rsid w:val="769136B0"/>
    <w:rsid w:val="76BC0D60"/>
    <w:rsid w:val="76F1414E"/>
    <w:rsid w:val="76F36118"/>
    <w:rsid w:val="771C566F"/>
    <w:rsid w:val="772E72D2"/>
    <w:rsid w:val="776808B4"/>
    <w:rsid w:val="77B204A9"/>
    <w:rsid w:val="77BC650A"/>
    <w:rsid w:val="77F24121"/>
    <w:rsid w:val="78570929"/>
    <w:rsid w:val="785F4189"/>
    <w:rsid w:val="7883527A"/>
    <w:rsid w:val="78861F30"/>
    <w:rsid w:val="78E62D61"/>
    <w:rsid w:val="790939D1"/>
    <w:rsid w:val="79263F52"/>
    <w:rsid w:val="794762A8"/>
    <w:rsid w:val="79586707"/>
    <w:rsid w:val="79A25BD4"/>
    <w:rsid w:val="79AE28D6"/>
    <w:rsid w:val="79BA4CCB"/>
    <w:rsid w:val="79D42231"/>
    <w:rsid w:val="79DF4732"/>
    <w:rsid w:val="7A081EDB"/>
    <w:rsid w:val="7A140880"/>
    <w:rsid w:val="7A3E76AA"/>
    <w:rsid w:val="7A642534"/>
    <w:rsid w:val="7A8F43AA"/>
    <w:rsid w:val="7AC06311"/>
    <w:rsid w:val="7AC35E02"/>
    <w:rsid w:val="7AC6390B"/>
    <w:rsid w:val="7B000E04"/>
    <w:rsid w:val="7B475501"/>
    <w:rsid w:val="7B537606"/>
    <w:rsid w:val="7B7C26EE"/>
    <w:rsid w:val="7BA2010D"/>
    <w:rsid w:val="7BD858DD"/>
    <w:rsid w:val="7C136915"/>
    <w:rsid w:val="7C15268D"/>
    <w:rsid w:val="7C7750F6"/>
    <w:rsid w:val="7C7A6994"/>
    <w:rsid w:val="7C8021FC"/>
    <w:rsid w:val="7CBB76D8"/>
    <w:rsid w:val="7CF229CE"/>
    <w:rsid w:val="7D207994"/>
    <w:rsid w:val="7DA173DB"/>
    <w:rsid w:val="7DB242F0"/>
    <w:rsid w:val="7E1C41A7"/>
    <w:rsid w:val="7E2968C4"/>
    <w:rsid w:val="7E445BF9"/>
    <w:rsid w:val="7E7F0292"/>
    <w:rsid w:val="7E88183C"/>
    <w:rsid w:val="7EE701AF"/>
    <w:rsid w:val="7EFC18E2"/>
    <w:rsid w:val="7F0D3AEF"/>
    <w:rsid w:val="7F0F5AB9"/>
    <w:rsid w:val="7F1B7FBA"/>
    <w:rsid w:val="7F323556"/>
    <w:rsid w:val="7F392B36"/>
    <w:rsid w:val="7FA77AA0"/>
    <w:rsid w:val="7FDB77E1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link w:val="20"/>
    <w:qFormat/>
    <w:uiPriority w:val="0"/>
    <w:pPr>
      <w:spacing w:after="120"/>
    </w:pPr>
    <w:rPr>
      <w:szCs w:val="24"/>
    </w:rPr>
  </w:style>
  <w:style w:type="paragraph" w:styleId="6">
    <w:name w:val="Plain Text"/>
    <w:basedOn w:val="1"/>
    <w:qFormat/>
    <w:uiPriority w:val="0"/>
    <w:rPr>
      <w:rFonts w:hint="eastAsia" w:ascii="宋体" w:hAnsi="Courier New"/>
    </w:r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1"/>
    <w:basedOn w:val="1"/>
    <w:next w:val="1"/>
    <w:semiHidden/>
    <w:qFormat/>
    <w:uiPriority w:val="0"/>
    <w:pPr>
      <w:tabs>
        <w:tab w:val="right" w:leader="dot" w:pos="9627"/>
      </w:tabs>
    </w:pPr>
  </w:style>
  <w:style w:type="paragraph" w:styleId="11">
    <w:name w:val="toc 2"/>
    <w:basedOn w:val="1"/>
    <w:next w:val="1"/>
    <w:semiHidden/>
    <w:qFormat/>
    <w:uiPriority w:val="0"/>
    <w:pPr>
      <w:ind w:left="420" w:leftChars="200"/>
    </w:p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semiHidden/>
    <w:unhideWhenUsed/>
    <w:qFormat/>
    <w:uiPriority w:val="99"/>
    <w:rPr>
      <w:color w:val="2862AD"/>
      <w:sz w:val="18"/>
      <w:szCs w:val="18"/>
      <w:u w:val="non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正文文本 字符"/>
    <w:basedOn w:val="14"/>
    <w:link w:val="5"/>
    <w:qFormat/>
    <w:uiPriority w:val="0"/>
    <w:rPr>
      <w:rFonts w:ascii="Times New Roman" w:hAnsi="Times New Roman"/>
      <w:kern w:val="2"/>
      <w:sz w:val="21"/>
      <w:szCs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eastAsia="Times New Roman"/>
      <w:szCs w:val="21"/>
      <w:lang w:eastAsia="en-US"/>
    </w:rPr>
  </w:style>
  <w:style w:type="paragraph" w:customStyle="1" w:styleId="23">
    <w:name w:val="标准文件_段"/>
    <w:qFormat/>
    <w:uiPriority w:val="0"/>
    <w:pPr>
      <w:autoSpaceDE w:val="0"/>
      <w:autoSpaceDN w:val="0"/>
      <w:adjustRightInd w:val="0"/>
      <w:snapToGrid w:val="0"/>
      <w:spacing w:line="276" w:lineRule="auto"/>
      <w:ind w:left="-126" w:leftChars="-60" w:right="-105" w:rightChars="-50" w:firstLine="419" w:firstLineChars="196"/>
      <w:jc w:val="both"/>
    </w:pPr>
    <w:rPr>
      <w:rFonts w:ascii="Times New Roman" w:hAnsi="Times New Roman" w:eastAsia="宋体" w:cs="Times New Roman"/>
      <w:spacing w:val="2"/>
      <w:sz w:val="21"/>
      <w:lang w:val="en-US" w:eastAsia="zh-CN" w:bidi="ar-SA"/>
    </w:rPr>
  </w:style>
  <w:style w:type="paragraph" w:customStyle="1" w:styleId="2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6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0" Type="http://schemas.openxmlformats.org/officeDocument/2006/relationships/fontTable" Target="fontTable.xml"/><Relationship Id="rId6" Type="http://schemas.openxmlformats.org/officeDocument/2006/relationships/footer" Target="footer1.xml"/><Relationship Id="rId59" Type="http://schemas.openxmlformats.org/officeDocument/2006/relationships/numbering" Target="numbering.xml"/><Relationship Id="rId58" Type="http://schemas.openxmlformats.org/officeDocument/2006/relationships/customXml" Target="../customXml/item1.xml"/><Relationship Id="rId57" Type="http://schemas.openxmlformats.org/officeDocument/2006/relationships/image" Target="media/image30.png"/><Relationship Id="rId56" Type="http://schemas.openxmlformats.org/officeDocument/2006/relationships/image" Target="media/image29.png"/><Relationship Id="rId55" Type="http://schemas.openxmlformats.org/officeDocument/2006/relationships/image" Target="media/image28.png"/><Relationship Id="rId54" Type="http://schemas.openxmlformats.org/officeDocument/2006/relationships/image" Target="media/image27.png"/><Relationship Id="rId53" Type="http://schemas.openxmlformats.org/officeDocument/2006/relationships/image" Target="media/image26.png"/><Relationship Id="rId52" Type="http://schemas.openxmlformats.org/officeDocument/2006/relationships/image" Target="media/image25.png"/><Relationship Id="rId51" Type="http://schemas.openxmlformats.org/officeDocument/2006/relationships/image" Target="media/image24.png"/><Relationship Id="rId50" Type="http://schemas.openxmlformats.org/officeDocument/2006/relationships/image" Target="media/image23.png"/><Relationship Id="rId5" Type="http://schemas.openxmlformats.org/officeDocument/2006/relationships/header" Target="header3.xml"/><Relationship Id="rId49" Type="http://schemas.openxmlformats.org/officeDocument/2006/relationships/image" Target="media/image22.png"/><Relationship Id="rId48" Type="http://schemas.openxmlformats.org/officeDocument/2006/relationships/image" Target="media/image21.png"/><Relationship Id="rId47" Type="http://schemas.openxmlformats.org/officeDocument/2006/relationships/image" Target="media/image20.wmf"/><Relationship Id="rId46" Type="http://schemas.openxmlformats.org/officeDocument/2006/relationships/oleObject" Target="embeddings/oleObject16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2" Type="http://schemas.openxmlformats.org/officeDocument/2006/relationships/oleObject" Target="embeddings/oleObject9.bin"/><Relationship Id="rId31" Type="http://schemas.openxmlformats.org/officeDocument/2006/relationships/image" Target="media/image12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7.bin"/><Relationship Id="rId27" Type="http://schemas.openxmlformats.org/officeDocument/2006/relationships/image" Target="media/image10.wmf"/><Relationship Id="rId26" Type="http://schemas.openxmlformats.org/officeDocument/2006/relationships/oleObject" Target="embeddings/oleObject6.bin"/><Relationship Id="rId25" Type="http://schemas.openxmlformats.org/officeDocument/2006/relationships/image" Target="media/image9.wmf"/><Relationship Id="rId24" Type="http://schemas.openxmlformats.org/officeDocument/2006/relationships/oleObject" Target="embeddings/oleObject5.bin"/><Relationship Id="rId23" Type="http://schemas.openxmlformats.org/officeDocument/2006/relationships/image" Target="media/image8.wmf"/><Relationship Id="rId22" Type="http://schemas.openxmlformats.org/officeDocument/2006/relationships/oleObject" Target="embeddings/oleObject4.bin"/><Relationship Id="rId21" Type="http://schemas.openxmlformats.org/officeDocument/2006/relationships/image" Target="media/image7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2.bin"/><Relationship Id="rId17" Type="http://schemas.openxmlformats.org/officeDocument/2006/relationships/image" Target="media/image5.wmf"/><Relationship Id="rId16" Type="http://schemas.openxmlformats.org/officeDocument/2006/relationships/oleObject" Target="embeddings/oleObject1.bin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16</Pages>
  <Words>3322</Words>
  <Characters>3636</Characters>
  <Lines>38</Lines>
  <Paragraphs>10</Paragraphs>
  <TotalTime>1</TotalTime>
  <ScaleCrop>false</ScaleCrop>
  <LinksUpToDate>false</LinksUpToDate>
  <CharactersWithSpaces>3988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2024-05-24T02:41:00Z</dcterms:created>
  <dc:creator>Administrator</dc:creator>
  <cp:lastModifiedBy>东来西往</cp:lastModifiedBy>
  <dcterms:modified xsi:type="dcterms:W3CDTF">2025-10-27T08:05:25Z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F7353230F757438E85CD046F186D023F_13</vt:lpwstr>
  </property>
  <property fmtid="{D5CDD505-2E9C-101B-9397-08002B2CF9AE}" pid="4" name="KSOTemplateDocerSaveRecord">
    <vt:lpwstr>eyJoZGlkIjoiZTg5MzhlNzgxMTRjYzcwNTNjMWM2ZTRmYWQ4NGVhNjAiLCJ1c2VySWQiOiIzODI1MDg1NDcifQ==</vt:lpwstr>
  </property>
</Properties>
</file>