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84EC">
      <w:pPr>
        <w:pStyle w:val="10"/>
        <w:spacing w:line="460" w:lineRule="exact"/>
        <w:ind w:firstLine="600"/>
        <w:jc w:val="center"/>
        <w:rPr>
          <w:rFonts w:hAnsi="宋体" w:cs="Times New Roman"/>
          <w:b/>
          <w:sz w:val="30"/>
        </w:rPr>
      </w:pPr>
    </w:p>
    <w:p w14:paraId="4B963337">
      <w:pPr>
        <w:pStyle w:val="10"/>
        <w:spacing w:line="460" w:lineRule="exact"/>
        <w:ind w:firstLine="600"/>
        <w:jc w:val="center"/>
        <w:rPr>
          <w:rFonts w:hAnsi="宋体" w:cs="Times New Roman"/>
          <w:b/>
          <w:sz w:val="30"/>
        </w:rPr>
      </w:pPr>
    </w:p>
    <w:p w14:paraId="5C37AAE2">
      <w:pPr>
        <w:pStyle w:val="10"/>
        <w:spacing w:line="460" w:lineRule="exact"/>
        <w:ind w:firstLine="600"/>
        <w:jc w:val="center"/>
        <w:rPr>
          <w:rFonts w:hAnsi="宋体" w:cs="Times New Roman"/>
          <w:b/>
          <w:sz w:val="30"/>
        </w:rPr>
      </w:pPr>
    </w:p>
    <w:p w14:paraId="5EA37B23">
      <w:pPr>
        <w:pStyle w:val="10"/>
        <w:spacing w:line="460" w:lineRule="exact"/>
        <w:ind w:firstLine="600"/>
        <w:jc w:val="center"/>
        <w:rPr>
          <w:rFonts w:hAnsi="宋体" w:cs="Times New Roman"/>
          <w:b/>
          <w:sz w:val="30"/>
        </w:rPr>
      </w:pPr>
    </w:p>
    <w:p w14:paraId="40B7E227">
      <w:pPr>
        <w:pStyle w:val="10"/>
        <w:ind w:firstLine="0" w:firstLineChars="0"/>
        <w:jc w:val="center"/>
        <w:rPr>
          <w:rFonts w:hAnsi="宋体" w:cs="Times New Roman"/>
          <w:b/>
          <w:sz w:val="44"/>
          <w:szCs w:val="44"/>
        </w:rPr>
      </w:pPr>
      <w:r>
        <w:rPr>
          <w:rFonts w:hint="eastAsia" w:hAnsi="宋体" w:cs="Times New Roman"/>
          <w:b/>
          <w:sz w:val="44"/>
          <w:szCs w:val="44"/>
        </w:rPr>
        <w:t>河南省地方计量技术规范</w:t>
      </w:r>
    </w:p>
    <w:p w14:paraId="696BD658">
      <w:pPr>
        <w:pStyle w:val="10"/>
        <w:ind w:firstLine="0" w:firstLineChars="0"/>
        <w:jc w:val="center"/>
        <w:rPr>
          <w:rFonts w:hAnsi="宋体" w:cs="Times New Roman"/>
          <w:b/>
          <w:sz w:val="44"/>
          <w:szCs w:val="44"/>
        </w:rPr>
      </w:pPr>
      <w:r>
        <w:rPr>
          <w:rFonts w:hint="eastAsia" w:hAnsi="宋体" w:cs="Times New Roman"/>
          <w:b/>
          <w:sz w:val="44"/>
          <w:szCs w:val="44"/>
          <w:lang w:val="en-US" w:eastAsia="zh-CN"/>
        </w:rPr>
        <w:t>油库容积式流量计状态核查计量技术规范</w:t>
      </w:r>
    </w:p>
    <w:p w14:paraId="690AE88D">
      <w:pPr>
        <w:pStyle w:val="10"/>
        <w:ind w:firstLine="0" w:firstLineChars="0"/>
        <w:jc w:val="center"/>
        <w:rPr>
          <w:rFonts w:hAnsi="宋体" w:cs="Times New Roman"/>
          <w:b/>
          <w:sz w:val="44"/>
          <w:szCs w:val="44"/>
        </w:rPr>
      </w:pPr>
    </w:p>
    <w:p w14:paraId="6288495B">
      <w:pPr>
        <w:pStyle w:val="10"/>
        <w:ind w:firstLine="0" w:firstLineChars="0"/>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编</w:t>
      </w:r>
    </w:p>
    <w:p w14:paraId="217303A0">
      <w:pPr>
        <w:pStyle w:val="10"/>
        <w:ind w:firstLine="0" w:firstLineChars="0"/>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制</w:t>
      </w:r>
    </w:p>
    <w:p w14:paraId="545EC340">
      <w:pPr>
        <w:pStyle w:val="10"/>
        <w:ind w:firstLine="0" w:firstLineChars="0"/>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说</w:t>
      </w:r>
    </w:p>
    <w:p w14:paraId="52755BF2">
      <w:pPr>
        <w:pStyle w:val="10"/>
        <w:ind w:firstLine="0" w:firstLineChars="0"/>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明</w:t>
      </w:r>
    </w:p>
    <w:p w14:paraId="7B5529C1">
      <w:pPr>
        <w:pStyle w:val="10"/>
        <w:spacing w:line="460" w:lineRule="exact"/>
        <w:ind w:firstLine="600"/>
        <w:jc w:val="center"/>
        <w:rPr>
          <w:rFonts w:hAnsi="宋体" w:cs="Times New Roman"/>
          <w:b/>
          <w:sz w:val="30"/>
        </w:rPr>
      </w:pPr>
    </w:p>
    <w:p w14:paraId="0D2FBEF6">
      <w:pPr>
        <w:pStyle w:val="10"/>
        <w:spacing w:line="460" w:lineRule="exact"/>
        <w:ind w:firstLine="600"/>
        <w:jc w:val="center"/>
        <w:rPr>
          <w:rFonts w:hAnsi="宋体" w:cs="Times New Roman"/>
          <w:b/>
          <w:sz w:val="30"/>
        </w:rPr>
      </w:pPr>
    </w:p>
    <w:p w14:paraId="7BBDA1EE">
      <w:pPr>
        <w:pStyle w:val="10"/>
        <w:spacing w:line="460" w:lineRule="exact"/>
        <w:ind w:firstLine="600"/>
        <w:jc w:val="center"/>
        <w:rPr>
          <w:rFonts w:hAnsi="宋体" w:cs="Times New Roman"/>
          <w:b/>
          <w:sz w:val="30"/>
        </w:rPr>
      </w:pPr>
    </w:p>
    <w:p w14:paraId="34FA1B00">
      <w:pPr>
        <w:pStyle w:val="10"/>
        <w:spacing w:line="460" w:lineRule="exact"/>
        <w:ind w:firstLine="600"/>
        <w:jc w:val="center"/>
        <w:rPr>
          <w:rFonts w:hAnsi="宋体" w:cs="Times New Roman"/>
          <w:b/>
          <w:sz w:val="30"/>
        </w:rPr>
      </w:pPr>
    </w:p>
    <w:p w14:paraId="79EAAC6F">
      <w:pPr>
        <w:pStyle w:val="10"/>
        <w:spacing w:line="460" w:lineRule="exact"/>
        <w:ind w:firstLine="600"/>
        <w:jc w:val="center"/>
        <w:rPr>
          <w:rFonts w:hAnsi="宋体" w:cs="Times New Roman"/>
          <w:b/>
          <w:sz w:val="30"/>
        </w:rPr>
      </w:pPr>
    </w:p>
    <w:p w14:paraId="547E17CA">
      <w:pPr>
        <w:ind w:firstLine="0" w:firstLineChars="0"/>
        <w:jc w:val="center"/>
        <w:rPr>
          <w:rFonts w:ascii="宋体" w:hAnsi="宋体"/>
          <w:b/>
          <w:szCs w:val="32"/>
        </w:rPr>
      </w:pPr>
      <w:r>
        <w:rPr>
          <w:rFonts w:hint="eastAsia" w:ascii="宋体" w:hAnsi="宋体"/>
          <w:b/>
          <w:szCs w:val="32"/>
        </w:rPr>
        <w:t>规范编写组</w:t>
      </w:r>
    </w:p>
    <w:p w14:paraId="67344945">
      <w:pPr>
        <w:ind w:firstLine="0" w:firstLineChars="0"/>
        <w:jc w:val="center"/>
        <w:rPr>
          <w:rFonts w:ascii="宋体"/>
          <w:b/>
          <w:szCs w:val="32"/>
        </w:rPr>
      </w:pPr>
      <w:r>
        <w:rPr>
          <w:rFonts w:hAnsi="宋体"/>
          <w:b/>
          <w:sz w:val="30"/>
        </w:rPr>
        <w:t>202</w:t>
      </w:r>
      <w:r>
        <w:rPr>
          <w:rFonts w:hint="eastAsia" w:hAnsi="宋体"/>
          <w:b/>
          <w:sz w:val="30"/>
          <w:lang w:val="en-US" w:eastAsia="zh-CN"/>
        </w:rPr>
        <w:t>5</w:t>
      </w:r>
      <w:r>
        <w:rPr>
          <w:rFonts w:hint="eastAsia" w:hAnsi="宋体"/>
          <w:b/>
          <w:sz w:val="30"/>
        </w:rPr>
        <w:t>年</w:t>
      </w:r>
      <w:r>
        <w:rPr>
          <w:rFonts w:hint="eastAsia" w:hAnsi="宋体"/>
          <w:b/>
          <w:sz w:val="30"/>
          <w:lang w:val="en-US" w:eastAsia="zh-CN"/>
        </w:rPr>
        <w:t>10</w:t>
      </w:r>
      <w:r>
        <w:rPr>
          <w:rFonts w:hint="eastAsia" w:hAnsi="宋体"/>
          <w:b/>
          <w:sz w:val="30"/>
        </w:rPr>
        <w:t>月</w:t>
      </w:r>
    </w:p>
    <w:p w14:paraId="5BEBDCB8">
      <w:pPr>
        <w:pStyle w:val="10"/>
        <w:spacing w:line="460" w:lineRule="exact"/>
        <w:ind w:firstLine="600"/>
        <w:jc w:val="center"/>
        <w:rPr>
          <w:rFonts w:hAnsi="宋体" w:cs="Times New Roman"/>
          <w:b/>
          <w:sz w:val="30"/>
        </w:rPr>
      </w:pPr>
    </w:p>
    <w:p w14:paraId="027F53F7">
      <w:pPr>
        <w:pStyle w:val="10"/>
        <w:spacing w:line="460" w:lineRule="exact"/>
        <w:ind w:firstLine="600"/>
        <w:jc w:val="center"/>
        <w:rPr>
          <w:rFonts w:hAnsi="宋体" w:cs="Times New Roman"/>
          <w:b/>
          <w:sz w:val="30"/>
        </w:rPr>
      </w:pPr>
    </w:p>
    <w:p w14:paraId="69C4EB64">
      <w:pPr>
        <w:pStyle w:val="10"/>
        <w:spacing w:line="460" w:lineRule="exact"/>
        <w:ind w:firstLine="600"/>
        <w:jc w:val="center"/>
        <w:rPr>
          <w:rFonts w:hAnsi="宋体" w:cs="Times New Roman"/>
          <w:b/>
          <w:sz w:val="30"/>
        </w:rPr>
        <w:sectPr>
          <w:footerReference r:id="rId9" w:type="first"/>
          <w:headerReference r:id="rId5" w:type="default"/>
          <w:footerReference r:id="rId7" w:type="default"/>
          <w:headerReference r:id="rId6" w:type="even"/>
          <w:footerReference r:id="rId8" w:type="even"/>
          <w:pgSz w:w="11906" w:h="16838"/>
          <w:pgMar w:top="1247" w:right="1247" w:bottom="1247" w:left="1247" w:header="851" w:footer="992" w:gutter="0"/>
          <w:cols w:space="720" w:num="1"/>
          <w:titlePg/>
          <w:docGrid w:type="lines" w:linePitch="312" w:charSpace="0"/>
        </w:sectPr>
      </w:pPr>
    </w:p>
    <w:p w14:paraId="4287522B">
      <w:pPr>
        <w:pStyle w:val="10"/>
        <w:spacing w:line="460" w:lineRule="exact"/>
        <w:ind w:firstLine="600"/>
        <w:jc w:val="center"/>
        <w:rPr>
          <w:rFonts w:hAnsi="宋体" w:cs="Times New Roman"/>
          <w:b/>
          <w:sz w:val="30"/>
        </w:rPr>
      </w:pPr>
    </w:p>
    <w:p w14:paraId="5C68093F">
      <w:pPr>
        <w:pStyle w:val="10"/>
        <w:spacing w:line="460" w:lineRule="exact"/>
        <w:ind w:firstLine="640"/>
        <w:jc w:val="center"/>
        <w:rPr>
          <w:rFonts w:hAnsi="宋体" w:cs="Times New Roman"/>
          <w:b/>
          <w:szCs w:val="32"/>
        </w:rPr>
      </w:pPr>
      <w:r>
        <w:rPr>
          <w:rFonts w:hint="eastAsia" w:hAnsi="宋体" w:cs="Times New Roman"/>
          <w:b/>
          <w:szCs w:val="32"/>
        </w:rPr>
        <w:t>目  录</w:t>
      </w:r>
    </w:p>
    <w:p w14:paraId="1E37969F">
      <w:pPr>
        <w:pStyle w:val="37"/>
        <w:tabs>
          <w:tab w:val="right" w:leader="dot" w:pos="9412"/>
        </w:tabs>
        <w:rPr>
          <w:rFonts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TOC \o "1-2" \h \u </w:instrText>
      </w:r>
      <w:r>
        <w:rPr>
          <w:rFonts w:hint="eastAsia" w:ascii="仿宋_GB2312" w:hAnsi="仿宋_GB2312" w:eastAsia="仿宋_GB2312" w:cs="仿宋_GB2312"/>
          <w:b/>
          <w:sz w:val="32"/>
          <w:szCs w:val="32"/>
        </w:rPr>
        <w:fldChar w:fldCharType="separate"/>
      </w:r>
    </w:p>
    <w:p w14:paraId="559A1858">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"_Toc2452" </w:instrText>
      </w:r>
      <w:r>
        <w:fldChar w:fldCharType="separate"/>
      </w:r>
      <w:r>
        <w:rPr>
          <w:rFonts w:hint="eastAsia" w:ascii="仿宋_GB2312" w:hAnsi="仿宋_GB2312" w:eastAsia="仿宋_GB2312" w:cs="仿宋_GB2312"/>
          <w:sz w:val="32"/>
          <w:szCs w:val="32"/>
        </w:rPr>
        <w:t>一、任务来源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_Toc2452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A4C5DB">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"_Toc19070" </w:instrText>
      </w:r>
      <w:r>
        <w:fldChar w:fldCharType="separate"/>
      </w:r>
      <w:r>
        <w:rPr>
          <w:rFonts w:hint="eastAsia" w:ascii="仿宋_GB2312" w:hAnsi="仿宋_GB2312" w:eastAsia="仿宋_GB2312" w:cs="仿宋_GB2312"/>
          <w:sz w:val="32"/>
          <w:szCs w:val="32"/>
        </w:rPr>
        <w:t>二、目的和意义</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p>
    <w:p w14:paraId="33472CE3">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"_Toc15678" </w:instrText>
      </w:r>
      <w:r>
        <w:fldChar w:fldCharType="separate"/>
      </w:r>
      <w:r>
        <w:rPr>
          <w:rFonts w:hint="eastAsia" w:ascii="仿宋_GB2312" w:hAnsi="仿宋_GB2312" w:eastAsia="仿宋_GB2312" w:cs="仿宋_GB2312"/>
          <w:sz w:val="32"/>
          <w:szCs w:val="32"/>
        </w:rPr>
        <w:t>三、规范内容说明</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2</w:t>
      </w:r>
      <w:r>
        <w:rPr>
          <w:rFonts w:ascii="仿宋_GB2312" w:hAnsi="仿宋_GB2312" w:eastAsia="仿宋_GB2312" w:cs="仿宋_GB2312"/>
          <w:sz w:val="32"/>
          <w:szCs w:val="32"/>
        </w:rPr>
        <w:fldChar w:fldCharType="end"/>
      </w:r>
    </w:p>
    <w:p w14:paraId="4C91E17F">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"_Toc24881" </w:instrText>
      </w:r>
      <w:r>
        <w:fldChar w:fldCharType="separate"/>
      </w:r>
      <w:r>
        <w:rPr>
          <w:rFonts w:hint="eastAsia" w:ascii="仿宋_GB2312" w:hAnsi="仿宋_GB2312" w:eastAsia="仿宋_GB2312" w:cs="仿宋_GB2312"/>
          <w:sz w:val="32"/>
          <w:szCs w:val="32"/>
        </w:rPr>
        <w:t>1）引言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_Toc24881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84A798">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"_Toc27315" </w:instrText>
      </w:r>
      <w:r>
        <w:fldChar w:fldCharType="separate"/>
      </w:r>
      <w:r>
        <w:rPr>
          <w:rFonts w:hint="eastAsia" w:ascii="仿宋_GB2312" w:hAnsi="仿宋_GB2312" w:eastAsia="仿宋_GB2312" w:cs="仿宋_GB2312"/>
          <w:sz w:val="32"/>
          <w:szCs w:val="32"/>
        </w:rPr>
        <w:t>2）适用范围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_Toc27315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1E3F9E">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"_Toc28750" </w:instrText>
      </w:r>
      <w:r>
        <w:fldChar w:fldCharType="separate"/>
      </w:r>
      <w:r>
        <w:rPr>
          <w:rFonts w:hint="eastAsia" w:ascii="仿宋_GB2312" w:hAnsi="仿宋_GB2312" w:eastAsia="仿宋_GB2312" w:cs="仿宋_GB2312"/>
          <w:sz w:val="32"/>
          <w:szCs w:val="32"/>
        </w:rPr>
        <w:t>3）规范起草的技术依据</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p>
    <w:p w14:paraId="1A7B8297">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"_Toc12941" </w:instrText>
      </w:r>
      <w:r>
        <w:fldChar w:fldCharType="separate"/>
      </w:r>
      <w:r>
        <w:rPr>
          <w:rFonts w:hint="eastAsia" w:ascii="仿宋_GB2312" w:hAnsi="仿宋_GB2312" w:eastAsia="仿宋_GB2312" w:cs="仿宋_GB2312"/>
          <w:sz w:val="32"/>
          <w:szCs w:val="32"/>
        </w:rPr>
        <w:t>4）术语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_Toc12941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4DADCE">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"_Toc1612" </w:instrText>
      </w:r>
      <w:r>
        <w:fldChar w:fldCharType="separate"/>
      </w:r>
      <w:r>
        <w:rPr>
          <w:rFonts w:hint="eastAsia" w:ascii="仿宋_GB2312" w:hAnsi="仿宋_GB2312" w:eastAsia="仿宋_GB2312" w:cs="仿宋_GB2312"/>
          <w:sz w:val="32"/>
          <w:szCs w:val="32"/>
        </w:rPr>
        <w:t>5）概述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_Toc1612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116E3C">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"_Toc16521" </w:instrText>
      </w:r>
      <w:r>
        <w:fldChar w:fldCharType="separate"/>
      </w:r>
      <w:r>
        <w:rPr>
          <w:rFonts w:hint="eastAsia" w:ascii="仿宋_GB2312" w:hAnsi="仿宋_GB2312" w:eastAsia="仿宋_GB2312" w:cs="仿宋_GB2312"/>
          <w:sz w:val="32"/>
          <w:szCs w:val="32"/>
        </w:rPr>
        <w:t>6）计量特性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14:paraId="61BEC8B0">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"_Toc8850" </w:instrText>
      </w:r>
      <w:r>
        <w:fldChar w:fldCharType="separate"/>
      </w:r>
      <w:r>
        <w:rPr>
          <w:rFonts w:hint="eastAsia" w:ascii="仿宋_GB2312" w:hAnsi="仿宋_GB2312" w:eastAsia="仿宋_GB2312" w:cs="仿宋_GB2312"/>
          <w:sz w:val="32"/>
          <w:szCs w:val="32"/>
        </w:rPr>
        <w:t>7）计量标准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14:paraId="6F26006B">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"_Toc30374" </w:instrText>
      </w:r>
      <w: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核查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_Toc30374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EB0C13">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"_Toc18062" </w:instrText>
      </w:r>
      <w: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核查</w:t>
      </w:r>
      <w:r>
        <w:rPr>
          <w:rFonts w:hint="eastAsia" w:ascii="仿宋_GB2312" w:hAnsi="仿宋_GB2312" w:eastAsia="仿宋_GB2312" w:cs="仿宋_GB2312"/>
          <w:sz w:val="32"/>
          <w:szCs w:val="32"/>
        </w:rPr>
        <w:t>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_Toc18062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3AEA7B">
      <w:pPr>
        <w:pStyle w:val="38"/>
        <w:tabs>
          <w:tab w:val="right" w:leader="dot" w:pos="9412"/>
        </w:tabs>
        <w:ind w:leftChars="0"/>
        <w:rPr>
          <w:rFonts w:ascii="仿宋_GB2312" w:hAnsi="仿宋_GB2312" w:eastAsia="仿宋_GB2312" w:cs="仿宋_GB2312"/>
          <w:sz w:val="32"/>
          <w:szCs w:val="32"/>
        </w:rPr>
      </w:pPr>
      <w:r>
        <w:fldChar w:fldCharType="begin"/>
      </w:r>
      <w:r>
        <w:instrText xml:space="preserve"> HYPERLINK \l "_Toc605" </w:instrText>
      </w:r>
      <w: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核查</w:t>
      </w:r>
      <w:r>
        <w:rPr>
          <w:rFonts w:hint="eastAsia" w:ascii="仿宋_GB2312" w:hAnsi="仿宋_GB2312" w:eastAsia="仿宋_GB2312" w:cs="仿宋_GB2312"/>
          <w:sz w:val="32"/>
          <w:szCs w:val="32"/>
        </w:rPr>
        <w:t>结果的表示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4A421F4A">
      <w:pPr>
        <w:pStyle w:val="38"/>
        <w:tabs>
          <w:tab w:val="right" w:leader="dot" w:pos="9412"/>
        </w:tabs>
        <w:ind w:leftChars="0"/>
        <w:rPr>
          <w:rFonts w:ascii="仿宋_GB2312" w:hAnsi="仿宋_GB2312" w:eastAsia="仿宋_GB2312" w:cs="仿宋_GB2312"/>
          <w:sz w:val="32"/>
          <w:szCs w:val="32"/>
        </w:rPr>
      </w:pPr>
    </w:p>
    <w:p w14:paraId="402B532C">
      <w:pPr>
        <w:pStyle w:val="10"/>
        <w:ind w:firstLine="640"/>
        <w:jc w:val="center"/>
        <w:rPr>
          <w:rFonts w:ascii="仿宋_GB2312" w:hAnsi="仿宋_GB2312" w:cs="仿宋_GB2312"/>
          <w:b/>
          <w:szCs w:val="32"/>
        </w:rPr>
      </w:pPr>
      <w:r>
        <w:rPr>
          <w:rFonts w:hint="eastAsia" w:ascii="仿宋_GB2312" w:hAnsi="仿宋_GB2312" w:cs="仿宋_GB2312"/>
          <w:b/>
          <w:szCs w:val="32"/>
        </w:rPr>
        <w:fldChar w:fldCharType="end"/>
      </w:r>
    </w:p>
    <w:p w14:paraId="59229B38">
      <w:pPr>
        <w:pStyle w:val="10"/>
        <w:spacing w:line="460" w:lineRule="exact"/>
        <w:ind w:firstLine="600"/>
        <w:jc w:val="center"/>
        <w:rPr>
          <w:rFonts w:hAnsi="宋体" w:cs="Times New Roman"/>
          <w:b/>
          <w:sz w:val="30"/>
        </w:rPr>
      </w:pPr>
    </w:p>
    <w:p w14:paraId="1FA9A430">
      <w:pPr>
        <w:pStyle w:val="10"/>
        <w:spacing w:line="460" w:lineRule="exact"/>
        <w:ind w:firstLine="600"/>
        <w:jc w:val="center"/>
        <w:rPr>
          <w:rFonts w:hAnsi="宋体" w:cs="Times New Roman"/>
          <w:b/>
          <w:sz w:val="30"/>
        </w:rPr>
      </w:pPr>
    </w:p>
    <w:p w14:paraId="4A0C8E0B">
      <w:pPr>
        <w:pStyle w:val="10"/>
        <w:spacing w:line="460" w:lineRule="exact"/>
        <w:ind w:firstLine="600"/>
        <w:jc w:val="center"/>
        <w:rPr>
          <w:rFonts w:hAnsi="宋体" w:cs="Times New Roman"/>
          <w:b/>
          <w:sz w:val="30"/>
        </w:rPr>
        <w:sectPr>
          <w:type w:val="continuous"/>
          <w:pgSz w:w="11906" w:h="16838"/>
          <w:pgMar w:top="1247" w:right="1247" w:bottom="1247" w:left="1247" w:header="851" w:footer="992" w:gutter="0"/>
          <w:pgNumType w:start="1"/>
          <w:cols w:space="720" w:num="1"/>
          <w:titlePg/>
          <w:docGrid w:type="lines" w:linePitch="312" w:charSpace="0"/>
        </w:sectPr>
      </w:pPr>
    </w:p>
    <w:p w14:paraId="5EB21635">
      <w:pPr>
        <w:pStyle w:val="10"/>
        <w:spacing w:line="460" w:lineRule="exact"/>
        <w:ind w:firstLine="600"/>
        <w:jc w:val="center"/>
        <w:rPr>
          <w:rFonts w:hAnsi="宋体" w:cs="Times New Roman"/>
          <w:b/>
          <w:sz w:val="30"/>
        </w:rPr>
        <w:sectPr>
          <w:type w:val="continuous"/>
          <w:pgSz w:w="11906" w:h="16838"/>
          <w:pgMar w:top="1247" w:right="1247" w:bottom="1247" w:left="1247" w:header="851" w:footer="992" w:gutter="0"/>
          <w:pgNumType w:start="1"/>
          <w:cols w:space="720" w:num="1"/>
          <w:docGrid w:type="lines" w:linePitch="312" w:charSpace="0"/>
        </w:sectPr>
      </w:pPr>
    </w:p>
    <w:p w14:paraId="710AE3C4">
      <w:pPr>
        <w:pStyle w:val="10"/>
        <w:spacing w:line="460" w:lineRule="exact"/>
        <w:ind w:firstLine="600"/>
        <w:jc w:val="center"/>
        <w:rPr>
          <w:rFonts w:hAnsi="宋体" w:cs="Times New Roman"/>
          <w:b/>
          <w:sz w:val="30"/>
        </w:rPr>
      </w:pPr>
    </w:p>
    <w:p w14:paraId="2699DCA6">
      <w:pPr>
        <w:pStyle w:val="2"/>
        <w:rPr>
          <w:rFonts w:hint="eastAsia"/>
          <w:lang w:val="en-US" w:eastAsia="zh-CN"/>
        </w:rPr>
      </w:pPr>
      <w:bookmarkStart w:id="0" w:name="_Toc15246"/>
      <w:bookmarkStart w:id="1" w:name="_Toc24046"/>
      <w:r>
        <w:rPr>
          <w:rFonts w:hint="eastAsia"/>
          <w:lang w:val="en-US" w:eastAsia="zh-CN"/>
        </w:rPr>
        <w:t>油库容积式流量计状态核查计量技术规范</w:t>
      </w:r>
    </w:p>
    <w:p w14:paraId="689669F1">
      <w:pPr>
        <w:pStyle w:val="2"/>
        <w:rPr>
          <w:rFonts w:ascii="仿宋_GB2312" w:hAnsi="宋体"/>
          <w:b/>
        </w:rPr>
      </w:pPr>
      <w:r>
        <w:rPr>
          <w:rFonts w:hint="eastAsia"/>
        </w:rPr>
        <w:t>编制说明</w:t>
      </w:r>
      <w:bookmarkEnd w:id="0"/>
      <w:bookmarkEnd w:id="1"/>
    </w:p>
    <w:p w14:paraId="6D6B30FE">
      <w:pPr>
        <w:pStyle w:val="3"/>
      </w:pPr>
      <w:bookmarkStart w:id="2" w:name="_Toc2452"/>
      <w:bookmarkStart w:id="3" w:name="_Toc440220123"/>
      <w:bookmarkStart w:id="4" w:name="_Toc12535"/>
      <w:r>
        <w:rPr>
          <w:rFonts w:hint="eastAsia"/>
        </w:rPr>
        <w:t>一、任务来源</w:t>
      </w:r>
      <w:bookmarkEnd w:id="2"/>
      <w:bookmarkEnd w:id="3"/>
      <w:bookmarkEnd w:id="4"/>
    </w:p>
    <w:p w14:paraId="4443766F">
      <w:pPr>
        <w:pStyle w:val="10"/>
        <w:ind w:firstLine="640"/>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为填补省内《</w:t>
      </w:r>
      <w:r>
        <w:rPr>
          <w:rFonts w:hint="eastAsia" w:asciiTheme="minorEastAsia" w:hAnsiTheme="minorEastAsia" w:eastAsiaTheme="minorEastAsia" w:cstheme="minorEastAsia"/>
          <w:szCs w:val="32"/>
          <w:lang w:val="en-US" w:eastAsia="zh-CN"/>
        </w:rPr>
        <w:t>油库容积式流量计状态核查计量技术规范</w:t>
      </w:r>
      <w:r>
        <w:rPr>
          <w:rFonts w:hint="eastAsia" w:asciiTheme="minorEastAsia" w:hAnsiTheme="minorEastAsia" w:eastAsiaTheme="minorEastAsia" w:cstheme="minorEastAsia"/>
          <w:szCs w:val="32"/>
        </w:rPr>
        <w:t>》</w:t>
      </w:r>
      <w:r>
        <w:rPr>
          <w:rFonts w:hint="eastAsia" w:asciiTheme="minorEastAsia" w:hAnsiTheme="minorEastAsia" w:eastAsiaTheme="minorEastAsia" w:cstheme="minorEastAsia"/>
          <w:spacing w:val="18"/>
          <w:szCs w:val="32"/>
        </w:rPr>
        <w:t>的空白，满足计量技术工作需求，</w:t>
      </w:r>
      <w:r>
        <w:rPr>
          <w:rFonts w:hint="eastAsia" w:asciiTheme="minorEastAsia" w:hAnsiTheme="minorEastAsia" w:eastAsiaTheme="minorEastAsia" w:cstheme="minorEastAsia"/>
          <w:color w:val="000000"/>
          <w:szCs w:val="32"/>
        </w:rPr>
        <w:t>20</w:t>
      </w:r>
      <w:r>
        <w:rPr>
          <w:rFonts w:asciiTheme="minorEastAsia" w:hAnsiTheme="minorEastAsia" w:eastAsiaTheme="minorEastAsia" w:cstheme="minorEastAsia"/>
          <w:color w:val="000000"/>
          <w:szCs w:val="32"/>
        </w:rPr>
        <w:t>2</w:t>
      </w:r>
      <w:r>
        <w:rPr>
          <w:rFonts w:hint="eastAsia" w:asciiTheme="minorEastAsia" w:hAnsiTheme="minorEastAsia" w:eastAsiaTheme="minorEastAsia" w:cstheme="minorEastAsia"/>
          <w:color w:val="000000"/>
          <w:szCs w:val="32"/>
          <w:lang w:val="en-US" w:eastAsia="zh-CN"/>
        </w:rPr>
        <w:t>5</w:t>
      </w:r>
      <w:r>
        <w:rPr>
          <w:rFonts w:hint="eastAsia" w:asciiTheme="minorEastAsia" w:hAnsiTheme="minorEastAsia" w:eastAsiaTheme="minorEastAsia" w:cstheme="minorEastAsia"/>
          <w:color w:val="000000"/>
          <w:szCs w:val="32"/>
        </w:rPr>
        <w:t>年</w:t>
      </w:r>
      <w:r>
        <w:rPr>
          <w:rFonts w:hint="eastAsia" w:asciiTheme="minorEastAsia" w:hAnsiTheme="minorEastAsia" w:eastAsiaTheme="minorEastAsia" w:cstheme="minorEastAsia"/>
          <w:color w:val="000000"/>
          <w:szCs w:val="32"/>
          <w:lang w:val="en-US" w:eastAsia="zh-CN"/>
        </w:rPr>
        <w:t>1</w:t>
      </w:r>
      <w:r>
        <w:rPr>
          <w:rFonts w:hint="eastAsia" w:asciiTheme="minorEastAsia" w:hAnsiTheme="minorEastAsia" w:eastAsiaTheme="minorEastAsia" w:cstheme="minorEastAsia"/>
          <w:color w:val="000000"/>
          <w:szCs w:val="32"/>
        </w:rPr>
        <w:t>月</w:t>
      </w:r>
      <w:r>
        <w:rPr>
          <w:rFonts w:hint="eastAsia" w:asciiTheme="minorEastAsia" w:hAnsiTheme="minorEastAsia" w:eastAsiaTheme="minorEastAsia" w:cstheme="minorEastAsia"/>
          <w:szCs w:val="32"/>
        </w:rPr>
        <w:t>，河南省华威化工咨询服务有限公司（主起草单位）向省局提出编制《</w:t>
      </w:r>
      <w:r>
        <w:rPr>
          <w:rFonts w:hint="eastAsia" w:asciiTheme="minorEastAsia" w:hAnsiTheme="minorEastAsia" w:eastAsiaTheme="minorEastAsia" w:cstheme="minorEastAsia"/>
          <w:szCs w:val="32"/>
          <w:lang w:val="en-US" w:eastAsia="zh-CN"/>
        </w:rPr>
        <w:t>油库容积式流量计状态核查计量技术规范</w:t>
      </w:r>
      <w:r>
        <w:rPr>
          <w:rFonts w:hint="eastAsia" w:asciiTheme="minorEastAsia" w:hAnsiTheme="minorEastAsia" w:eastAsiaTheme="minorEastAsia" w:cstheme="minorEastAsia"/>
          <w:szCs w:val="32"/>
        </w:rPr>
        <w:t>》的申请，20</w:t>
      </w:r>
      <w:r>
        <w:rPr>
          <w:rFonts w:asciiTheme="minorEastAsia" w:hAnsiTheme="minorEastAsia" w:eastAsiaTheme="minorEastAsia" w:cstheme="minorEastAsia"/>
          <w:szCs w:val="32"/>
        </w:rPr>
        <w:t>2</w:t>
      </w:r>
      <w:r>
        <w:rPr>
          <w:rFonts w:hint="eastAsia" w:asciiTheme="minorEastAsia" w:hAnsiTheme="minorEastAsia" w:eastAsiaTheme="minorEastAsia" w:cstheme="minorEastAsia"/>
          <w:szCs w:val="32"/>
          <w:lang w:val="en-US" w:eastAsia="zh-CN"/>
        </w:rPr>
        <w:t>5</w:t>
      </w:r>
      <w:r>
        <w:rPr>
          <w:rFonts w:hint="eastAsia" w:asciiTheme="minorEastAsia" w:hAnsiTheme="minorEastAsia" w:eastAsiaTheme="minorEastAsia" w:cstheme="minorEastAsia"/>
          <w:szCs w:val="32"/>
        </w:rPr>
        <w:t>年</w:t>
      </w:r>
      <w:r>
        <w:rPr>
          <w:rFonts w:hint="eastAsia" w:asciiTheme="minorEastAsia" w:hAnsiTheme="minorEastAsia" w:eastAsiaTheme="minorEastAsia" w:cstheme="minorEastAsia"/>
          <w:szCs w:val="32"/>
          <w:lang w:val="en-US" w:eastAsia="zh-CN"/>
        </w:rPr>
        <w:t>5</w:t>
      </w:r>
      <w:r>
        <w:rPr>
          <w:rFonts w:hint="eastAsia" w:asciiTheme="minorEastAsia" w:hAnsiTheme="minorEastAsia" w:eastAsiaTheme="minorEastAsia" w:cstheme="minorEastAsia"/>
          <w:szCs w:val="32"/>
        </w:rPr>
        <w:t>月，省局批准了该地方技术规范的制订工作，规范名称为JJF（豫）×××-20</w:t>
      </w:r>
      <w:r>
        <w:rPr>
          <w:rFonts w:hint="eastAsia" w:asciiTheme="minorEastAsia" w:hAnsiTheme="minorEastAsia" w:eastAsiaTheme="minorEastAsia" w:cstheme="minorEastAsia"/>
          <w:szCs w:val="32"/>
          <w:lang w:val="en-US" w:eastAsia="zh-CN"/>
        </w:rPr>
        <w:t>25</w:t>
      </w:r>
      <w:r>
        <w:rPr>
          <w:rFonts w:hint="eastAsia" w:asciiTheme="minorEastAsia" w:hAnsiTheme="minorEastAsia" w:eastAsiaTheme="minorEastAsia" w:cstheme="minorEastAsia"/>
          <w:szCs w:val="32"/>
        </w:rPr>
        <w:t>。规范的起草单位有河南省计量测试科学研究院、中国石化销售股份有限公司河南石油分公司。</w:t>
      </w:r>
    </w:p>
    <w:p w14:paraId="6B236B65">
      <w:pPr>
        <w:pStyle w:val="3"/>
      </w:pPr>
      <w:bookmarkStart w:id="5" w:name="_Toc3120"/>
      <w:bookmarkStart w:id="6" w:name="_Toc19070"/>
      <w:bookmarkStart w:id="7" w:name="_Toc440220124"/>
      <w:r>
        <w:rPr>
          <w:rFonts w:hint="eastAsia"/>
        </w:rPr>
        <w:t>二、目的和意义</w:t>
      </w:r>
      <w:bookmarkEnd w:id="5"/>
      <w:bookmarkEnd w:id="6"/>
      <w:bookmarkEnd w:id="7"/>
    </w:p>
    <w:p w14:paraId="640C2E4A">
      <w:pPr>
        <w:spacing w:line="360" w:lineRule="auto"/>
        <w:ind w:firstLine="640"/>
        <w:rPr>
          <w:rFonts w:asciiTheme="minorEastAsia" w:hAnsiTheme="minorEastAsia" w:eastAsiaTheme="minorEastAsia"/>
          <w:szCs w:val="32"/>
        </w:rPr>
      </w:pPr>
      <w:bookmarkStart w:id="8" w:name="_Toc15678"/>
      <w:bookmarkStart w:id="9" w:name="_Toc9846"/>
      <w:bookmarkStart w:id="10" w:name="_Toc440220125"/>
      <w:r>
        <w:rPr>
          <w:rFonts w:hint="eastAsia" w:asciiTheme="minorEastAsia" w:hAnsiTheme="minorEastAsia" w:eastAsiaTheme="minorEastAsia"/>
          <w:szCs w:val="32"/>
          <w:lang w:val="en-US" w:eastAsia="zh-CN"/>
        </w:rPr>
        <w:t>商业油库定量装车流量计量，较多选用容积式流量计，也有选用质量流量计，无论选用何种方式的流量计，按照计量法制管理规定都要进行周期检定，按照检定周期拆装、送检（离线送检），耽误发油且费用较大，长期以来这都是一件很麻烦又难以解决问题。近年来在线开放式检定容积式流量计商业油库定量装车用流量计大部分采用容积式流量计，针对该设备的检定，一般采用容积法，该检定方法标准器用的是标准罐，标准罐的容积一般为1000-2000升，按照规定一台流量计在线检定至少需要检测3个流量点，每个流量点至少测试3次，一个检定过程至少需要测试9次，检定液体每次都要排放回储罐。这种方法虽然避免了流量计拆装，但是检定期间还是要停止发油，使用敞口标准量器，检定液体还要排放返回至储罐，整个检定校准过程相当繁琐且耗时很长，流量计检定效率低存在环保和安全隐患。</w:t>
      </w:r>
      <w:r>
        <w:rPr>
          <w:rFonts w:hint="eastAsia" w:asciiTheme="minorEastAsia" w:hAnsiTheme="minorEastAsia" w:eastAsiaTheme="minorEastAsia"/>
          <w:szCs w:val="32"/>
          <w:lang w:val="en-US" w:eastAsia="zh-CN"/>
        </w:rPr>
        <w:br w:type="textWrapping"/>
      </w:r>
      <w:r>
        <w:rPr>
          <w:rFonts w:hint="eastAsia" w:asciiTheme="minorEastAsia" w:hAnsiTheme="minorEastAsia" w:eastAsiaTheme="minorEastAsia"/>
          <w:szCs w:val="32"/>
          <w:lang w:val="en-US" w:eastAsia="zh-CN"/>
        </w:rPr>
        <w:t xml:space="preserve">    在两次检定之间，也需要对容积式流量计进行核查，确保流量计计量状态的可信度。同时，精细化管理也需要定量装车计量系统定期进行期间核查。研发油库定量装车在线密闭期间核查系统和相应的核查规范，是深化计量技术和计量管理进步迫切需要解决的问题。</w:t>
      </w:r>
      <w:r>
        <w:rPr>
          <w:rFonts w:hint="eastAsia" w:asciiTheme="minorEastAsia" w:hAnsiTheme="minorEastAsia" w:eastAsiaTheme="minorEastAsia"/>
          <w:szCs w:val="32"/>
          <w:lang w:val="en-US" w:eastAsia="zh-CN"/>
        </w:rPr>
        <w:br w:type="textWrapping"/>
      </w:r>
      <w:r>
        <w:rPr>
          <w:rFonts w:hint="eastAsia" w:asciiTheme="minorEastAsia" w:hAnsiTheme="minorEastAsia" w:eastAsiaTheme="minorEastAsia"/>
          <w:szCs w:val="32"/>
          <w:lang w:val="en-US" w:eastAsia="zh-CN"/>
        </w:rPr>
        <w:t xml:space="preserve">    近年来，随着流量计技术的进步和油品密度在线计量技术的发展应用，为解决定量装车计量系统多年来的流量计和发油系统核查问题创造了条件。目前市场上有厂家针对我们的需求研发试制用于定量装车系统的计量设备，由于没有国家标准或规范支持，没有判别验收认可的依据、所以不具有法律效率，产品难免有隐患应用也难免出现副作用。目前，急需结合油库实际运行状况，更加切合实际工作状况，制定我省的《油库容积式流量计状态核查计量技术规范》地方规范，使油库自动发油计量系统的计量状态得到有效保证，出具的数据得到更可靠的量值溯源，得到交接双方的认可。</w:t>
      </w:r>
    </w:p>
    <w:p w14:paraId="38C07CB4">
      <w:pPr>
        <w:pStyle w:val="3"/>
      </w:pPr>
      <w:r>
        <w:rPr>
          <w:rFonts w:hint="eastAsia"/>
        </w:rPr>
        <w:t>三、规范内容说明</w:t>
      </w:r>
      <w:bookmarkEnd w:id="8"/>
      <w:bookmarkEnd w:id="9"/>
      <w:bookmarkEnd w:id="10"/>
    </w:p>
    <w:p w14:paraId="4B7CDD0E">
      <w:pPr>
        <w:pStyle w:val="5"/>
      </w:pPr>
      <w:bookmarkStart w:id="11" w:name="_Toc24881"/>
      <w:bookmarkStart w:id="12" w:name="_Toc440220126"/>
      <w:bookmarkStart w:id="13" w:name="_Toc6403"/>
      <w:r>
        <w:rPr>
          <w:rFonts w:hint="eastAsia"/>
        </w:rPr>
        <w:t>1）引言</w:t>
      </w:r>
      <w:bookmarkEnd w:id="11"/>
      <w:bookmarkEnd w:id="12"/>
      <w:bookmarkEnd w:id="13"/>
    </w:p>
    <w:p w14:paraId="3FCD9910">
      <w:pPr>
        <w:spacing w:before="156" w:beforeLines="50" w:line="360" w:lineRule="auto"/>
        <w:ind w:firstLine="640"/>
        <w:rPr>
          <w:rFonts w:asciiTheme="minorEastAsia" w:hAnsiTheme="minorEastAsia" w:eastAsiaTheme="minorEastAsia"/>
          <w:szCs w:val="32"/>
        </w:rPr>
      </w:pPr>
      <w:r>
        <w:rPr>
          <w:rFonts w:hint="eastAsia" w:asciiTheme="minorEastAsia" w:hAnsiTheme="minorEastAsia" w:eastAsiaTheme="minorEastAsia"/>
          <w:szCs w:val="32"/>
        </w:rPr>
        <w:t>本规范依据JJF1071-2010《国家计量校准规范编写规则》、</w:t>
      </w:r>
      <w:r>
        <w:rPr>
          <w:rFonts w:asciiTheme="minorEastAsia" w:hAnsiTheme="minorEastAsia" w:eastAsiaTheme="minorEastAsia"/>
          <w:szCs w:val="32"/>
        </w:rPr>
        <w:t xml:space="preserve"> JJF1001</w:t>
      </w:r>
      <w:r>
        <w:rPr>
          <w:rFonts w:hint="eastAsia" w:asciiTheme="minorEastAsia" w:hAnsiTheme="minorEastAsia" w:eastAsiaTheme="minorEastAsia"/>
          <w:szCs w:val="32"/>
        </w:rPr>
        <w:t>-2011《通用计量术语及定义》、 JJF1059.1-2012《测量不确定度评定与表示》编制，所用计量单位均采用国家法定计量单位。</w:t>
      </w:r>
    </w:p>
    <w:p w14:paraId="01B9625F">
      <w:pPr>
        <w:ind w:firstLine="640"/>
        <w:rPr>
          <w:rFonts w:asciiTheme="minorEastAsia" w:hAnsiTheme="minorEastAsia" w:eastAsiaTheme="minorEastAsia"/>
          <w:szCs w:val="32"/>
        </w:rPr>
      </w:pPr>
      <w:r>
        <w:rPr>
          <w:rFonts w:hint="eastAsia" w:asciiTheme="minorEastAsia" w:hAnsiTheme="minorEastAsia" w:eastAsiaTheme="minorEastAsia"/>
          <w:szCs w:val="32"/>
        </w:rPr>
        <w:t>本规范为首次制定。</w:t>
      </w:r>
    </w:p>
    <w:p w14:paraId="3FFF99DF">
      <w:pPr>
        <w:pStyle w:val="5"/>
      </w:pPr>
      <w:bookmarkStart w:id="14" w:name="_Toc440220127"/>
      <w:bookmarkStart w:id="15" w:name="_Toc27315"/>
      <w:bookmarkStart w:id="16" w:name="_Toc28073"/>
      <w:r>
        <w:rPr>
          <w:rFonts w:hint="eastAsia"/>
        </w:rPr>
        <w:t>2）适用范围</w:t>
      </w:r>
      <w:bookmarkEnd w:id="14"/>
      <w:bookmarkEnd w:id="15"/>
      <w:bookmarkEnd w:id="16"/>
      <w:r>
        <w:rPr>
          <w:rFonts w:hint="eastAsia"/>
        </w:rPr>
        <w:t xml:space="preserve"> </w:t>
      </w:r>
    </w:p>
    <w:p w14:paraId="2F6DEB36">
      <w:pPr>
        <w:pStyle w:val="12"/>
        <w:spacing w:after="0" w:line="360" w:lineRule="auto"/>
        <w:ind w:left="0" w:leftChars="0" w:firstLine="640"/>
        <w:jc w:val="left"/>
        <w:rPr>
          <w:rFonts w:ascii="Times New Roman" w:hAnsi="Times New Roman" w:eastAsiaTheme="minorEastAsia"/>
        </w:rPr>
      </w:pPr>
      <w:bookmarkStart w:id="17" w:name="_Toc440220128"/>
      <w:bookmarkStart w:id="18" w:name="_Toc22917"/>
      <w:bookmarkStart w:id="19" w:name="_Toc28750"/>
      <w:r>
        <w:rPr>
          <w:rFonts w:ascii="Times New Roman" w:hAnsiTheme="minorEastAsia" w:eastAsiaTheme="minorEastAsia"/>
        </w:rPr>
        <w:t>本规范适用于</w:t>
      </w:r>
      <w:r>
        <w:rPr>
          <w:rFonts w:hint="eastAsia" w:ascii="Times New Roman" w:hAnsiTheme="minorEastAsia" w:eastAsiaTheme="minorEastAsia"/>
          <w:lang w:val="en-US" w:eastAsia="zh-CN"/>
        </w:rPr>
        <w:t>油库容积式流量计状态核查计量技术规范</w:t>
      </w:r>
      <w:r>
        <w:rPr>
          <w:rFonts w:ascii="Times New Roman" w:hAnsiTheme="minorEastAsia" w:eastAsiaTheme="minorEastAsia"/>
        </w:rPr>
        <w:t>。</w:t>
      </w:r>
    </w:p>
    <w:p w14:paraId="756A7557">
      <w:pPr>
        <w:pStyle w:val="5"/>
      </w:pPr>
      <w:r>
        <w:rPr>
          <w:rFonts w:hint="eastAsia"/>
        </w:rPr>
        <w:t>3）规范起草的技术依据</w:t>
      </w:r>
      <w:bookmarkEnd w:id="17"/>
      <w:bookmarkEnd w:id="18"/>
      <w:bookmarkEnd w:id="19"/>
    </w:p>
    <w:p w14:paraId="102478D4">
      <w:pPr>
        <w:ind w:firstLine="640"/>
        <w:rPr>
          <w:rFonts w:asciiTheme="minorEastAsia" w:hAnsiTheme="minorEastAsia" w:eastAsiaTheme="minorEastAsia"/>
          <w:szCs w:val="32"/>
        </w:rPr>
      </w:pPr>
      <w:bookmarkStart w:id="20" w:name="_Toc440220129"/>
      <w:r>
        <w:rPr>
          <w:rFonts w:hint="eastAsia" w:asciiTheme="minorEastAsia" w:hAnsiTheme="minorEastAsia" w:eastAsiaTheme="minorEastAsia"/>
          <w:szCs w:val="32"/>
        </w:rPr>
        <w:t>本规范引用了下列文件：</w:t>
      </w:r>
    </w:p>
    <w:p w14:paraId="10418E79">
      <w:pPr>
        <w:spacing w:line="360" w:lineRule="auto"/>
        <w:ind w:firstLine="640"/>
        <w:rPr>
          <w:rFonts w:asciiTheme="minorEastAsia" w:hAnsiTheme="minorEastAsia" w:eastAsiaTheme="minorEastAsia"/>
          <w:szCs w:val="32"/>
        </w:rPr>
      </w:pPr>
      <w:r>
        <w:rPr>
          <w:rFonts w:asciiTheme="minorEastAsia" w:hAnsiTheme="minorEastAsia" w:eastAsiaTheme="minorEastAsia"/>
          <w:szCs w:val="32"/>
          <w:lang w:eastAsia="zh-CN"/>
        </w:rPr>
        <w:t>JJ</w:t>
      </w:r>
      <w:r>
        <w:rPr>
          <w:rFonts w:hint="eastAsia" w:asciiTheme="minorEastAsia" w:hAnsiTheme="minorEastAsia" w:eastAsiaTheme="minorEastAsia"/>
          <w:szCs w:val="32"/>
          <w:lang w:val="en-US" w:eastAsia="zh-CN"/>
        </w:rPr>
        <w:t>G</w:t>
      </w:r>
      <w:r>
        <w:rPr>
          <w:rFonts w:asciiTheme="minorEastAsia" w:hAnsiTheme="minorEastAsia" w:eastAsiaTheme="minorEastAsia"/>
          <w:szCs w:val="32"/>
          <w:lang w:eastAsia="zh-CN"/>
        </w:rPr>
        <w:t xml:space="preserve"> 66</w:t>
      </w:r>
      <w:r>
        <w:rPr>
          <w:rFonts w:hint="eastAsia" w:asciiTheme="minorEastAsia" w:hAnsiTheme="minorEastAsia" w:eastAsiaTheme="minorEastAsia"/>
          <w:szCs w:val="32"/>
          <w:lang w:val="en-US" w:eastAsia="zh-CN"/>
        </w:rPr>
        <w:t>7</w:t>
      </w:r>
      <w:r>
        <w:rPr>
          <w:rFonts w:asciiTheme="minorEastAsia" w:hAnsiTheme="minorEastAsia" w:eastAsiaTheme="minorEastAsia"/>
          <w:szCs w:val="32"/>
          <w:lang w:eastAsia="zh-CN"/>
        </w:rPr>
        <w:t>-201</w:t>
      </w:r>
      <w:r>
        <w:rPr>
          <w:rFonts w:hint="eastAsia" w:asciiTheme="minorEastAsia" w:hAnsiTheme="minorEastAsia" w:eastAsiaTheme="minorEastAsia"/>
          <w:szCs w:val="32"/>
          <w:lang w:val="en-US" w:eastAsia="zh-CN"/>
        </w:rPr>
        <w:t>0</w:t>
      </w:r>
      <w:r>
        <w:rPr>
          <w:rFonts w:asciiTheme="minorEastAsia" w:hAnsiTheme="minorEastAsia" w:eastAsiaTheme="minorEastAsia"/>
          <w:szCs w:val="32"/>
          <w:lang w:eastAsia="zh-CN"/>
        </w:rPr>
        <w:t xml:space="preserve"> </w:t>
      </w:r>
      <w:r>
        <w:rPr>
          <w:rFonts w:hint="eastAsia" w:asciiTheme="minorEastAsia" w:hAnsiTheme="minorEastAsia" w:eastAsiaTheme="minorEastAsia"/>
          <w:szCs w:val="32"/>
          <w:lang w:eastAsia="zh-CN"/>
        </w:rPr>
        <w:t>液体容积式</w:t>
      </w:r>
      <w:r>
        <w:rPr>
          <w:rFonts w:hint="default" w:asciiTheme="minorEastAsia" w:hAnsiTheme="minorEastAsia" w:eastAsiaTheme="minorEastAsia"/>
          <w:szCs w:val="32"/>
          <w:lang w:eastAsia="zh-CN"/>
        </w:rPr>
        <w:t>流量计</w:t>
      </w:r>
    </w:p>
    <w:p w14:paraId="33949877">
      <w:pPr>
        <w:pBdr>
          <w:bottom w:val="dotted" w:color="auto" w:sz="24" w:space="0"/>
        </w:pBdr>
        <w:ind w:firstLine="640"/>
        <w:jc w:val="left"/>
        <w:rPr>
          <w:rFonts w:asciiTheme="minorEastAsia" w:hAnsiTheme="minorEastAsia" w:eastAsiaTheme="minorEastAsia"/>
        </w:rPr>
      </w:pPr>
      <w:r>
        <w:rPr>
          <w:rFonts w:hint="eastAsia" w:asciiTheme="minorEastAsia" w:hAnsiTheme="minorEastAsia" w:eastAsiaTheme="minorEastAsia"/>
        </w:rPr>
        <w:t>凡是注明日期的引用文件，仅注日期的版本适用于本规范：凡是不注日期的引用文件，其最新版本（包括修改单）适用于本规范。</w:t>
      </w:r>
    </w:p>
    <w:p w14:paraId="66A9E45F">
      <w:pPr>
        <w:pBdr>
          <w:bottom w:val="dotted" w:color="auto" w:sz="24" w:space="0"/>
        </w:pBdr>
        <w:ind w:firstLine="640"/>
        <w:jc w:val="left"/>
      </w:pPr>
    </w:p>
    <w:p w14:paraId="1EAAF3DE">
      <w:pPr>
        <w:pStyle w:val="5"/>
        <w:numPr>
          <w:ilvl w:val="0"/>
          <w:numId w:val="2"/>
        </w:numPr>
        <w:tabs>
          <w:tab w:val="left" w:pos="5337"/>
        </w:tabs>
      </w:pPr>
      <w:bookmarkStart w:id="21" w:name="_Toc19578"/>
      <w:bookmarkStart w:id="22" w:name="_Toc12941"/>
      <w:r>
        <w:rPr>
          <w:rFonts w:hint="eastAsia"/>
        </w:rPr>
        <w:t>术语</w:t>
      </w:r>
      <w:bookmarkEnd w:id="20"/>
      <w:bookmarkEnd w:id="21"/>
      <w:bookmarkEnd w:id="22"/>
      <w:r>
        <w:rPr>
          <w:rFonts w:hint="eastAsia"/>
        </w:rPr>
        <w:tab/>
      </w:r>
    </w:p>
    <w:p w14:paraId="1F5A5FF2">
      <w:pPr>
        <w:pStyle w:val="5"/>
        <w:ind w:firstLine="640" w:firstLineChars="200"/>
        <w:rPr>
          <w:rFonts w:ascii="仿宋" w:hAnsi="仿宋" w:eastAsia="仿宋" w:cs="仿宋"/>
        </w:rPr>
      </w:pPr>
      <w:r>
        <w:rPr>
          <w:rFonts w:hint="eastAsia" w:asciiTheme="minorEastAsia" w:hAnsiTheme="minorEastAsia" w:eastAsiaTheme="minorEastAsia"/>
          <w:szCs w:val="22"/>
        </w:rPr>
        <w:t>油库自动发油系统</w:t>
      </w:r>
    </w:p>
    <w:p w14:paraId="2AED1111">
      <w:pPr>
        <w:pStyle w:val="42"/>
        <w:spacing w:line="360" w:lineRule="auto"/>
        <w:ind w:firstLine="640"/>
        <w:rPr>
          <w:rFonts w:asciiTheme="minorEastAsia" w:hAnsiTheme="minorEastAsia" w:eastAsiaTheme="minorEastAsia"/>
          <w:szCs w:val="32"/>
        </w:rPr>
      </w:pPr>
      <w:bookmarkStart w:id="23" w:name="_Toc510612653"/>
      <w:r>
        <w:rPr>
          <w:rFonts w:hint="eastAsia" w:asciiTheme="minorEastAsia" w:hAnsiTheme="minorEastAsia" w:eastAsiaTheme="minorEastAsia"/>
          <w:szCs w:val="32"/>
        </w:rPr>
        <w:t>通过流量传感器和温度传感器等自动测量设备，与油泵、电动阀门、可编程控制器、计算机等自动控制设备组合，应用P</w:t>
      </w:r>
      <w:r>
        <w:rPr>
          <w:rFonts w:asciiTheme="minorEastAsia" w:hAnsiTheme="minorEastAsia" w:eastAsiaTheme="minorEastAsia"/>
          <w:szCs w:val="32"/>
        </w:rPr>
        <w:t>LC</w:t>
      </w:r>
      <w:r>
        <w:rPr>
          <w:rFonts w:hint="eastAsia" w:asciiTheme="minorEastAsia" w:hAnsiTheme="minorEastAsia" w:eastAsiaTheme="minorEastAsia"/>
          <w:szCs w:val="32"/>
        </w:rPr>
        <w:t>技术、计算机通讯技术、I</w:t>
      </w:r>
      <w:r>
        <w:rPr>
          <w:rFonts w:asciiTheme="minorEastAsia" w:hAnsiTheme="minorEastAsia" w:eastAsiaTheme="minorEastAsia"/>
          <w:szCs w:val="32"/>
        </w:rPr>
        <w:t>C</w:t>
      </w:r>
      <w:r>
        <w:rPr>
          <w:rFonts w:hint="eastAsia" w:asciiTheme="minorEastAsia" w:hAnsiTheme="minorEastAsia" w:eastAsiaTheme="minorEastAsia"/>
          <w:szCs w:val="32"/>
        </w:rPr>
        <w:t>卡技术，通过局域网络组成结构开放、组态灵活、控制功能完善的自动控制系统，实现油库发油出库作业的自动定量操作和信息管理的系统。</w:t>
      </w:r>
    </w:p>
    <w:bookmarkEnd w:id="23"/>
    <w:p w14:paraId="4C9AC9CE">
      <w:pPr>
        <w:pStyle w:val="5"/>
      </w:pPr>
      <w:bookmarkStart w:id="24" w:name="_Toc440220130"/>
      <w:bookmarkStart w:id="25" w:name="_Toc13353"/>
      <w:bookmarkStart w:id="26" w:name="_Toc1612"/>
      <w:r>
        <w:rPr>
          <w:rFonts w:hint="eastAsia"/>
        </w:rPr>
        <w:t>5）概述</w:t>
      </w:r>
      <w:bookmarkEnd w:id="24"/>
      <w:bookmarkEnd w:id="25"/>
      <w:bookmarkEnd w:id="26"/>
    </w:p>
    <w:p w14:paraId="3FBC8A2E">
      <w:pPr>
        <w:spacing w:line="360" w:lineRule="auto"/>
        <w:ind w:firstLine="640"/>
        <w:rPr>
          <w:rFonts w:hint="eastAsia" w:asciiTheme="minorEastAsia" w:hAnsiTheme="minorEastAsia" w:eastAsiaTheme="minorEastAsia"/>
          <w:szCs w:val="32"/>
          <w:lang w:eastAsia="zh-CN"/>
        </w:rPr>
      </w:pPr>
      <w:r>
        <w:rPr>
          <w:rFonts w:hint="eastAsia" w:asciiTheme="minorEastAsia" w:hAnsiTheme="minorEastAsia" w:eastAsiaTheme="minorEastAsia"/>
          <w:szCs w:val="32"/>
          <w:lang w:eastAsia="zh-CN"/>
        </w:rPr>
        <w:t>油库发油货位</w:t>
      </w:r>
      <w:r>
        <w:rPr>
          <w:rFonts w:hint="eastAsia" w:asciiTheme="minorEastAsia" w:hAnsiTheme="minorEastAsia" w:eastAsiaTheme="minorEastAsia"/>
          <w:szCs w:val="32"/>
          <w:lang w:val="en-US" w:eastAsia="zh-CN"/>
        </w:rPr>
        <w:t>容积式流量计</w:t>
      </w:r>
      <w:r>
        <w:rPr>
          <w:rFonts w:hint="eastAsia" w:asciiTheme="minorEastAsia" w:hAnsiTheme="minorEastAsia" w:eastAsiaTheme="minorEastAsia"/>
          <w:szCs w:val="32"/>
          <w:lang w:eastAsia="zh-CN"/>
        </w:rPr>
        <w:t>主要类型分：腰轮(又称罗茨)流量计、双转子流量计。工作原理为：液体通过流量计，就会在流量计进出口之间产生一定的压力差。液体在流量计的运动部件在这个压力差的作用下将产生运动，并将液体由入口排向出口。在这个过程中，液体多次反复充满流量计的容室。在给定条件下，该容室的容积是确定的，只要测得运动部件的运动次数，就可以得到通过流量计的流体的累积体积流量。</w:t>
      </w:r>
    </w:p>
    <w:p w14:paraId="5741E75D">
      <w:pPr>
        <w:spacing w:line="360" w:lineRule="auto"/>
        <w:ind w:firstLine="640"/>
        <w:rPr>
          <w:rFonts w:hint="eastAsia" w:asciiTheme="minorEastAsia" w:hAnsiTheme="minorEastAsia" w:eastAsiaTheme="minorEastAsia"/>
          <w:szCs w:val="32"/>
          <w:lang w:eastAsia="zh-CN"/>
        </w:rPr>
      </w:pPr>
      <w:r>
        <w:rPr>
          <w:rFonts w:hint="eastAsia" w:asciiTheme="minorEastAsia" w:hAnsiTheme="minorEastAsia" w:eastAsiaTheme="minorEastAsia"/>
          <w:szCs w:val="32"/>
          <w:lang w:eastAsia="zh-CN"/>
        </w:rPr>
        <w:t>油库</w:t>
      </w:r>
      <w:r>
        <w:rPr>
          <w:rFonts w:hint="eastAsia" w:asciiTheme="minorEastAsia" w:hAnsiTheme="minorEastAsia" w:eastAsiaTheme="minorEastAsia"/>
          <w:szCs w:val="32"/>
          <w:lang w:val="en-US" w:eastAsia="zh-CN"/>
        </w:rPr>
        <w:t>容积式流量计</w:t>
      </w:r>
      <w:r>
        <w:rPr>
          <w:rFonts w:hint="eastAsia" w:asciiTheme="minorEastAsia" w:hAnsiTheme="minorEastAsia" w:eastAsiaTheme="minorEastAsia"/>
          <w:szCs w:val="32"/>
          <w:lang w:eastAsia="zh-CN"/>
        </w:rPr>
        <w:t>在线</w:t>
      </w:r>
      <w:r>
        <w:rPr>
          <w:rFonts w:hint="eastAsia" w:asciiTheme="minorEastAsia" w:hAnsiTheme="minorEastAsia" w:eastAsiaTheme="minorEastAsia"/>
          <w:szCs w:val="32"/>
          <w:lang w:val="en-US" w:eastAsia="zh-CN"/>
        </w:rPr>
        <w:t>核查</w:t>
      </w:r>
      <w:r>
        <w:rPr>
          <w:rFonts w:hint="eastAsia" w:asciiTheme="minorEastAsia" w:hAnsiTheme="minorEastAsia" w:eastAsiaTheme="minorEastAsia"/>
          <w:szCs w:val="32"/>
          <w:lang w:eastAsia="zh-CN"/>
        </w:rPr>
        <w:t>由</w:t>
      </w:r>
      <w:r>
        <w:rPr>
          <w:rFonts w:hint="eastAsia" w:asciiTheme="minorEastAsia" w:hAnsiTheme="minorEastAsia" w:eastAsiaTheme="minorEastAsia"/>
          <w:szCs w:val="32"/>
          <w:lang w:val="en-US" w:eastAsia="zh-CN"/>
        </w:rPr>
        <w:t>高精度标准流量计</w:t>
      </w:r>
      <w:r>
        <w:rPr>
          <w:rFonts w:hint="eastAsia" w:asciiTheme="minorEastAsia" w:hAnsiTheme="minorEastAsia" w:eastAsiaTheme="minorEastAsia"/>
          <w:szCs w:val="32"/>
          <w:lang w:eastAsia="zh-CN"/>
        </w:rPr>
        <w:t>、数据采集、显示器和数字式温度计等部分组成，</w:t>
      </w:r>
      <w:r>
        <w:rPr>
          <w:rFonts w:hint="eastAsia" w:asciiTheme="minorEastAsia" w:hAnsiTheme="minorEastAsia" w:eastAsiaTheme="minorEastAsia"/>
          <w:szCs w:val="32"/>
          <w:lang w:val="en-US" w:eastAsia="zh-CN"/>
        </w:rPr>
        <w:t>详</w:t>
      </w:r>
      <w:r>
        <w:rPr>
          <w:rFonts w:hint="eastAsia" w:asciiTheme="minorEastAsia" w:hAnsiTheme="minorEastAsia" w:eastAsiaTheme="minorEastAsia"/>
          <w:szCs w:val="32"/>
          <w:lang w:eastAsia="zh-CN"/>
        </w:rPr>
        <w:t>见图1油库</w:t>
      </w:r>
      <w:r>
        <w:rPr>
          <w:rFonts w:hint="eastAsia" w:asciiTheme="minorEastAsia" w:hAnsiTheme="minorEastAsia" w:eastAsiaTheme="minorEastAsia"/>
          <w:szCs w:val="32"/>
          <w:lang w:val="en-US" w:eastAsia="zh-CN"/>
        </w:rPr>
        <w:t>容积式流量计</w:t>
      </w:r>
      <w:r>
        <w:rPr>
          <w:rFonts w:hint="eastAsia" w:asciiTheme="minorEastAsia" w:hAnsiTheme="minorEastAsia" w:eastAsiaTheme="minorEastAsia"/>
          <w:szCs w:val="32"/>
          <w:lang w:eastAsia="zh-CN"/>
        </w:rPr>
        <w:t>在线</w:t>
      </w:r>
      <w:r>
        <w:rPr>
          <w:rFonts w:hint="eastAsia" w:asciiTheme="minorEastAsia" w:hAnsiTheme="minorEastAsia" w:eastAsiaTheme="minorEastAsia"/>
          <w:szCs w:val="32"/>
          <w:lang w:val="en-US" w:eastAsia="zh-CN"/>
        </w:rPr>
        <w:t>核查示意图和图2</w:t>
      </w:r>
      <w:r>
        <w:rPr>
          <w:rFonts w:hint="eastAsia" w:asciiTheme="minorEastAsia" w:hAnsiTheme="minorEastAsia" w:eastAsiaTheme="minorEastAsia"/>
          <w:szCs w:val="32"/>
          <w:lang w:eastAsia="zh-CN"/>
        </w:rPr>
        <w:t>油库</w:t>
      </w:r>
      <w:r>
        <w:rPr>
          <w:rFonts w:hint="eastAsia" w:asciiTheme="minorEastAsia" w:hAnsiTheme="minorEastAsia" w:eastAsiaTheme="minorEastAsia"/>
          <w:szCs w:val="32"/>
          <w:lang w:val="en-US" w:eastAsia="zh-CN"/>
        </w:rPr>
        <w:t>容积式流量计</w:t>
      </w:r>
      <w:r>
        <w:rPr>
          <w:rFonts w:hint="eastAsia" w:asciiTheme="minorEastAsia" w:hAnsiTheme="minorEastAsia" w:eastAsiaTheme="minorEastAsia"/>
          <w:szCs w:val="32"/>
          <w:lang w:eastAsia="zh-CN"/>
        </w:rPr>
        <w:t>在线</w:t>
      </w:r>
      <w:r>
        <w:rPr>
          <w:rFonts w:hint="eastAsia" w:asciiTheme="minorEastAsia" w:hAnsiTheme="minorEastAsia" w:eastAsiaTheme="minorEastAsia"/>
          <w:szCs w:val="32"/>
          <w:lang w:val="en-US" w:eastAsia="zh-CN"/>
        </w:rPr>
        <w:t>核查装置结构</w:t>
      </w:r>
      <w:r>
        <w:rPr>
          <w:rFonts w:hint="eastAsia" w:asciiTheme="minorEastAsia" w:hAnsiTheme="minorEastAsia" w:eastAsiaTheme="minorEastAsia"/>
          <w:szCs w:val="32"/>
          <w:lang w:eastAsia="zh-CN"/>
        </w:rPr>
        <w:t>。</w:t>
      </w:r>
    </w:p>
    <w:p w14:paraId="5D4C5C6A">
      <w:pPr>
        <w:spacing w:line="360" w:lineRule="auto"/>
        <w:ind w:firstLine="640"/>
        <w:rPr>
          <w:rFonts w:hint="eastAsia" w:asciiTheme="minorEastAsia" w:hAnsiTheme="minorEastAsia" w:eastAsiaTheme="minorEastAsia"/>
          <w:szCs w:val="32"/>
          <w:lang w:eastAsia="zh-CN"/>
        </w:rPr>
      </w:pPr>
      <w:r>
        <w:drawing>
          <wp:inline distT="0" distB="0" distL="114300" distR="114300">
            <wp:extent cx="5037455" cy="2246630"/>
            <wp:effectExtent l="0" t="0" r="1079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037455" cy="2246630"/>
                    </a:xfrm>
                    <a:prstGeom prst="rect">
                      <a:avLst/>
                    </a:prstGeom>
                    <a:noFill/>
                    <a:ln>
                      <a:noFill/>
                    </a:ln>
                  </pic:spPr>
                </pic:pic>
              </a:graphicData>
            </a:graphic>
          </wp:inline>
        </w:drawing>
      </w:r>
    </w:p>
    <w:p w14:paraId="351EDBC8">
      <w:pPr>
        <w:pStyle w:val="44"/>
        <w:spacing w:line="360" w:lineRule="auto"/>
        <w:ind w:left="0" w:leftChars="0" w:firstLine="0" w:firstLineChars="0"/>
        <w:jc w:val="center"/>
        <w:rPr>
          <w:rFonts w:hint="eastAsia" w:ascii="Arial" w:hAnsi="Arial" w:cs="Arial"/>
          <w:szCs w:val="21"/>
        </w:rPr>
      </w:pPr>
      <w:r>
        <w:rPr>
          <w:rFonts w:hint="eastAsia" w:ascii="Arial" w:hAnsi="Arial" w:cs="Arial"/>
          <w:szCs w:val="21"/>
        </w:rPr>
        <w:t>图1 油库发油货位温度测量系统</w:t>
      </w:r>
      <w:r>
        <w:rPr>
          <w:rFonts w:hint="eastAsia" w:ascii="Arial" w:hAnsi="Arial" w:cs="Arial"/>
          <w:szCs w:val="21"/>
          <w:lang w:eastAsia="zh-CN"/>
        </w:rPr>
        <w:t>核查</w:t>
      </w:r>
      <w:r>
        <w:rPr>
          <w:rFonts w:hint="eastAsia" w:ascii="Arial" w:hAnsi="Arial" w:cs="Arial"/>
          <w:szCs w:val="21"/>
        </w:rPr>
        <w:t>示意图</w:t>
      </w:r>
    </w:p>
    <w:p w14:paraId="11C98940">
      <w:pPr>
        <w:pStyle w:val="44"/>
        <w:spacing w:line="360" w:lineRule="auto"/>
        <w:ind w:left="0" w:leftChars="0" w:firstLine="0" w:firstLineChars="0"/>
        <w:jc w:val="center"/>
        <w:rPr>
          <w:rFonts w:hint="eastAsia" w:ascii="Arial" w:hAnsi="Arial" w:cs="Arial" w:eastAsiaTheme="minorEastAsia"/>
          <w:szCs w:val="21"/>
          <w:lang w:eastAsia="zh-CN"/>
        </w:rPr>
      </w:pPr>
      <w:r>
        <w:rPr>
          <w:rFonts w:hint="eastAsia" w:ascii="Arial" w:hAnsi="Arial" w:cs="Arial" w:eastAsiaTheme="minorEastAsia"/>
          <w:szCs w:val="21"/>
          <w:lang w:eastAsia="zh-CN"/>
        </w:rPr>
        <w:drawing>
          <wp:inline distT="0" distB="0" distL="114300" distR="114300">
            <wp:extent cx="5235575" cy="3554095"/>
            <wp:effectExtent l="0" t="0" r="3175" b="8255"/>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
                    <pic:cNvPicPr>
                      <a:picLocks noChangeAspect="1"/>
                    </pic:cNvPicPr>
                  </pic:nvPicPr>
                  <pic:blipFill>
                    <a:blip r:embed="rId12"/>
                    <a:stretch>
                      <a:fillRect/>
                    </a:stretch>
                  </pic:blipFill>
                  <pic:spPr>
                    <a:xfrm>
                      <a:off x="0" y="0"/>
                      <a:ext cx="5235575" cy="3554095"/>
                    </a:xfrm>
                    <a:prstGeom prst="rect">
                      <a:avLst/>
                    </a:prstGeom>
                  </pic:spPr>
                </pic:pic>
              </a:graphicData>
            </a:graphic>
          </wp:inline>
        </w:drawing>
      </w:r>
    </w:p>
    <w:p w14:paraId="1A2C069E">
      <w:pPr>
        <w:pStyle w:val="44"/>
        <w:spacing w:line="360" w:lineRule="auto"/>
        <w:ind w:left="0" w:leftChars="0" w:firstLine="0" w:firstLineChars="0"/>
        <w:jc w:val="both"/>
        <w:rPr>
          <w:rFonts w:hint="eastAsia" w:ascii="Arial" w:hAnsi="Arial" w:cs="Arial"/>
          <w:szCs w:val="21"/>
          <w:lang w:val="en-US" w:eastAsia="zh-CN"/>
        </w:rPr>
      </w:pPr>
      <w:r>
        <w:rPr>
          <w:rFonts w:hint="eastAsia" w:ascii="Arial" w:hAnsi="Arial" w:cs="Arial"/>
          <w:szCs w:val="21"/>
          <w:lang w:val="en-US" w:eastAsia="zh-CN"/>
        </w:rPr>
        <w:t>1、API 阀，2、标准表 ，3、密度温度探头， 4、复合软管， 5、现场控制器， 6、移动托架， 7、排放口，8、接油盒， 9、推扶手， 10、防爆蓄电池架</w:t>
      </w:r>
    </w:p>
    <w:p w14:paraId="141732E0">
      <w:pPr>
        <w:pStyle w:val="44"/>
        <w:spacing w:line="360" w:lineRule="auto"/>
        <w:ind w:left="0" w:leftChars="0" w:firstLine="0" w:firstLineChars="0"/>
        <w:jc w:val="center"/>
        <w:rPr>
          <w:rFonts w:hint="eastAsia" w:ascii="Arial" w:hAnsi="Arial" w:cs="Arial"/>
          <w:szCs w:val="21"/>
        </w:rPr>
      </w:pPr>
      <w:r>
        <w:rPr>
          <w:rFonts w:hint="eastAsia" w:ascii="Arial" w:hAnsi="Arial" w:cs="Arial"/>
          <w:szCs w:val="21"/>
          <w:lang w:val="en-US" w:eastAsia="zh-CN"/>
        </w:rPr>
        <w:t xml:space="preserve">图2 </w:t>
      </w:r>
      <w:r>
        <w:rPr>
          <w:rFonts w:hint="eastAsia" w:ascii="Arial" w:hAnsi="Arial" w:cs="Arial"/>
          <w:szCs w:val="21"/>
          <w:lang w:eastAsia="zh-CN"/>
        </w:rPr>
        <w:t>油库</w:t>
      </w:r>
      <w:r>
        <w:rPr>
          <w:rFonts w:hint="eastAsia" w:ascii="Arial" w:hAnsi="Arial" w:cs="Arial"/>
          <w:szCs w:val="21"/>
          <w:lang w:val="en-US" w:eastAsia="zh-CN"/>
        </w:rPr>
        <w:t>容积式流量计</w:t>
      </w:r>
      <w:r>
        <w:rPr>
          <w:rFonts w:hint="eastAsia" w:ascii="Arial" w:hAnsi="Arial" w:cs="Arial"/>
          <w:szCs w:val="21"/>
          <w:lang w:eastAsia="zh-CN"/>
        </w:rPr>
        <w:t>在线</w:t>
      </w:r>
      <w:r>
        <w:rPr>
          <w:rFonts w:hint="eastAsia" w:ascii="Arial" w:hAnsi="Arial" w:cs="Arial"/>
          <w:szCs w:val="21"/>
          <w:lang w:val="en-US" w:eastAsia="zh-CN"/>
        </w:rPr>
        <w:t>核查装置结构</w:t>
      </w:r>
    </w:p>
    <w:p w14:paraId="467778EB">
      <w:pPr>
        <w:pStyle w:val="44"/>
        <w:spacing w:line="360" w:lineRule="auto"/>
        <w:ind w:left="0" w:leftChars="0" w:firstLine="0" w:firstLineChars="0"/>
        <w:jc w:val="center"/>
        <w:rPr>
          <w:rFonts w:hint="eastAsia" w:ascii="Arial" w:hAnsi="Arial" w:cs="Arial" w:eastAsiaTheme="minorEastAsia"/>
          <w:szCs w:val="21"/>
          <w:lang w:eastAsia="zh-CN"/>
        </w:rPr>
      </w:pPr>
    </w:p>
    <w:p w14:paraId="2BE68558">
      <w:pPr>
        <w:pStyle w:val="5"/>
      </w:pPr>
      <w:bookmarkStart w:id="27" w:name="_Toc440220131"/>
      <w:bookmarkStart w:id="28" w:name="_Toc20195"/>
      <w:bookmarkStart w:id="29" w:name="_Toc16521"/>
      <w:r>
        <w:rPr>
          <w:rFonts w:hint="eastAsia"/>
        </w:rPr>
        <w:t>6）计量特性</w:t>
      </w:r>
      <w:bookmarkEnd w:id="27"/>
      <w:bookmarkEnd w:id="28"/>
      <w:bookmarkEnd w:id="29"/>
    </w:p>
    <w:p w14:paraId="6B1C0A9D">
      <w:pPr>
        <w:pStyle w:val="2"/>
        <w:spacing w:line="360" w:lineRule="auto"/>
        <w:ind w:firstLine="640" w:firstLineChars="200"/>
        <w:jc w:val="both"/>
        <w:rPr>
          <w:rFonts w:asciiTheme="minorEastAsia" w:hAnsiTheme="minorEastAsia" w:eastAsiaTheme="minorEastAsia"/>
          <w:bCs w:val="0"/>
          <w:kern w:val="2"/>
          <w:sz w:val="32"/>
          <w:szCs w:val="32"/>
        </w:rPr>
      </w:pPr>
      <w:r>
        <w:rPr>
          <w:rFonts w:hint="eastAsia" w:asciiTheme="minorEastAsia" w:hAnsiTheme="minorEastAsia" w:eastAsiaTheme="minorEastAsia"/>
          <w:bCs w:val="0"/>
          <w:kern w:val="2"/>
          <w:sz w:val="32"/>
          <w:szCs w:val="32"/>
          <w:lang w:val="en-US" w:eastAsia="zh-CN"/>
        </w:rPr>
        <w:t>油库容积式流量计</w:t>
      </w:r>
      <w:r>
        <w:rPr>
          <w:rFonts w:hint="eastAsia" w:asciiTheme="minorEastAsia" w:hAnsiTheme="minorEastAsia" w:eastAsiaTheme="minorEastAsia"/>
          <w:bCs w:val="0"/>
          <w:kern w:val="2"/>
          <w:sz w:val="32"/>
          <w:szCs w:val="32"/>
          <w:lang w:eastAsia="zh-CN"/>
        </w:rPr>
        <w:t>示值的最大允许误差不超过±0.</w:t>
      </w:r>
      <w:r>
        <w:rPr>
          <w:rFonts w:hint="eastAsia" w:asciiTheme="minorEastAsia" w:hAnsiTheme="minorEastAsia" w:eastAsiaTheme="minorEastAsia"/>
          <w:bCs w:val="0"/>
          <w:kern w:val="2"/>
          <w:sz w:val="32"/>
          <w:szCs w:val="32"/>
          <w:lang w:val="en-US" w:eastAsia="zh-CN"/>
        </w:rPr>
        <w:t>2%</w:t>
      </w:r>
      <w:r>
        <w:rPr>
          <w:rFonts w:hint="eastAsia" w:asciiTheme="minorEastAsia" w:hAnsiTheme="minorEastAsia" w:eastAsiaTheme="minorEastAsia"/>
          <w:bCs w:val="0"/>
          <w:kern w:val="2"/>
          <w:sz w:val="32"/>
          <w:szCs w:val="32"/>
          <w:lang w:eastAsia="zh-CN"/>
        </w:rPr>
        <w:t>。</w:t>
      </w:r>
    </w:p>
    <w:p w14:paraId="33B94DC9">
      <w:pPr>
        <w:pStyle w:val="5"/>
      </w:pPr>
      <w:bookmarkStart w:id="30" w:name="_Toc440220132"/>
      <w:bookmarkStart w:id="31" w:name="_Toc3860"/>
      <w:bookmarkStart w:id="32" w:name="_Toc8850"/>
      <w:r>
        <w:rPr>
          <w:rFonts w:hint="eastAsia"/>
        </w:rPr>
        <w:t>7）计量标准</w:t>
      </w:r>
      <w:bookmarkEnd w:id="30"/>
      <w:bookmarkEnd w:id="31"/>
      <w:bookmarkEnd w:id="32"/>
    </w:p>
    <w:p w14:paraId="66E9F48E">
      <w:pPr>
        <w:ind w:firstLine="640"/>
        <w:rPr>
          <w:rFonts w:asciiTheme="minorEastAsia" w:hAnsiTheme="minorEastAsia" w:eastAsiaTheme="minorEastAsia"/>
          <w:szCs w:val="32"/>
        </w:rPr>
      </w:pPr>
      <w:r>
        <w:rPr>
          <w:rFonts w:hint="eastAsia" w:asciiTheme="minorEastAsia" w:hAnsiTheme="minorEastAsia" w:eastAsiaTheme="minorEastAsia"/>
          <w:szCs w:val="32"/>
        </w:rPr>
        <w:t>本规范所涉及的</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用设备（</w:t>
      </w:r>
      <w:r>
        <w:rPr>
          <w:rFonts w:hint="eastAsia" w:asciiTheme="minorEastAsia" w:hAnsiTheme="minorEastAsia" w:eastAsiaTheme="minorEastAsia"/>
          <w:szCs w:val="32"/>
          <w:lang w:bidi="en-US"/>
        </w:rPr>
        <w:t>数字式温度计</w:t>
      </w:r>
      <w:r>
        <w:rPr>
          <w:rFonts w:hint="eastAsia" w:asciiTheme="minorEastAsia" w:hAnsiTheme="minorEastAsia" w:eastAsiaTheme="minorEastAsia"/>
          <w:szCs w:val="32"/>
        </w:rPr>
        <w:t>、</w:t>
      </w:r>
      <w:r>
        <w:rPr>
          <w:rFonts w:hint="eastAsia" w:asciiTheme="minorEastAsia" w:hAnsiTheme="minorEastAsia" w:eastAsiaTheme="minorEastAsia"/>
          <w:szCs w:val="32"/>
          <w:lang w:val="en-US" w:eastAsia="zh-CN" w:bidi="en-US"/>
        </w:rPr>
        <w:t>标准</w:t>
      </w:r>
      <w:r>
        <w:rPr>
          <w:rFonts w:hint="eastAsia" w:asciiTheme="minorEastAsia" w:hAnsiTheme="minorEastAsia" w:eastAsiaTheme="minorEastAsia"/>
          <w:szCs w:val="32"/>
          <w:lang w:bidi="en-US"/>
        </w:rPr>
        <w:t>表</w:t>
      </w:r>
      <w:r>
        <w:rPr>
          <w:rFonts w:hint="eastAsia" w:asciiTheme="minorEastAsia" w:hAnsiTheme="minorEastAsia" w:eastAsiaTheme="minorEastAsia"/>
          <w:szCs w:val="32"/>
        </w:rPr>
        <w:t>、配套</w:t>
      </w:r>
      <w:r>
        <w:rPr>
          <w:rFonts w:hint="eastAsia" w:asciiTheme="minorEastAsia" w:hAnsiTheme="minorEastAsia" w:eastAsiaTheme="minorEastAsia"/>
          <w:szCs w:val="32"/>
          <w:lang w:val="en-US" w:eastAsia="zh-CN"/>
        </w:rPr>
        <w:t>装置结构</w:t>
      </w:r>
      <w:r>
        <w:rPr>
          <w:rFonts w:hint="eastAsia" w:asciiTheme="minorEastAsia" w:hAnsiTheme="minorEastAsia" w:eastAsiaTheme="minorEastAsia"/>
          <w:szCs w:val="32"/>
        </w:rPr>
        <w:t>等）都是常见的、经济的设备。</w:t>
      </w:r>
    </w:p>
    <w:p w14:paraId="3857D1F0">
      <w:pPr>
        <w:pStyle w:val="5"/>
      </w:pPr>
      <w:bookmarkStart w:id="33" w:name="_Toc30374"/>
      <w:bookmarkStart w:id="34" w:name="_Toc440220133"/>
      <w:bookmarkStart w:id="35" w:name="_Toc19541"/>
      <w:r>
        <w:rPr>
          <w:rFonts w:hint="eastAsia"/>
        </w:rPr>
        <w:t>8）</w:t>
      </w:r>
      <w:r>
        <w:rPr>
          <w:rFonts w:hint="eastAsia"/>
          <w:lang w:eastAsia="zh-CN"/>
        </w:rPr>
        <w:t>核查</w:t>
      </w:r>
      <w:r>
        <w:rPr>
          <w:rFonts w:hint="eastAsia"/>
        </w:rPr>
        <w:t>项目</w:t>
      </w:r>
      <w:bookmarkEnd w:id="33"/>
      <w:bookmarkEnd w:id="34"/>
      <w:bookmarkEnd w:id="35"/>
    </w:p>
    <w:p w14:paraId="1C1DC2AD">
      <w:pPr>
        <w:ind w:firstLine="640"/>
      </w:pPr>
      <w:r>
        <w:rPr>
          <w:rFonts w:hint="eastAsia" w:asciiTheme="minorEastAsia" w:hAnsiTheme="minorEastAsia" w:eastAsiaTheme="minorEastAsia"/>
          <w:bCs w:val="0"/>
          <w:kern w:val="2"/>
          <w:sz w:val="32"/>
          <w:szCs w:val="32"/>
          <w:lang w:val="en-US" w:eastAsia="zh-CN"/>
        </w:rPr>
        <w:t>油库容积式流量计在线核查项目为：油库容积式流量计</w:t>
      </w:r>
      <w:r>
        <w:rPr>
          <w:rFonts w:hint="eastAsia" w:asciiTheme="minorEastAsia" w:hAnsiTheme="minorEastAsia" w:eastAsiaTheme="minorEastAsia"/>
          <w:bCs w:val="0"/>
          <w:kern w:val="2"/>
          <w:sz w:val="32"/>
          <w:szCs w:val="32"/>
          <w:lang w:eastAsia="zh-CN"/>
        </w:rPr>
        <w:t>示值</w:t>
      </w:r>
      <w:r>
        <w:rPr>
          <w:rFonts w:hint="eastAsia" w:asciiTheme="minorEastAsia" w:hAnsiTheme="minorEastAsia" w:eastAsiaTheme="minorEastAsia"/>
          <w:szCs w:val="32"/>
        </w:rPr>
        <w:t>误差。</w:t>
      </w:r>
      <w:r>
        <w:rPr>
          <w:rFonts w:hint="eastAsia"/>
        </w:rPr>
        <w:t xml:space="preserve"> </w:t>
      </w:r>
    </w:p>
    <w:p w14:paraId="3CC21C32">
      <w:pPr>
        <w:pStyle w:val="5"/>
      </w:pPr>
      <w:bookmarkStart w:id="36" w:name="_Toc18062"/>
      <w:bookmarkStart w:id="37" w:name="_Toc440220134"/>
      <w:bookmarkStart w:id="38" w:name="_Toc20039"/>
      <w:r>
        <w:rPr>
          <w:rFonts w:hint="eastAsia"/>
        </w:rPr>
        <w:t>9）</w:t>
      </w:r>
      <w:r>
        <w:rPr>
          <w:rFonts w:hint="eastAsia"/>
          <w:lang w:eastAsia="zh-CN"/>
        </w:rPr>
        <w:t>核查</w:t>
      </w:r>
      <w:r>
        <w:rPr>
          <w:rFonts w:hint="eastAsia"/>
        </w:rPr>
        <w:t>方法</w:t>
      </w:r>
      <w:bookmarkEnd w:id="36"/>
      <w:bookmarkEnd w:id="37"/>
      <w:bookmarkEnd w:id="38"/>
    </w:p>
    <w:p w14:paraId="7DC09096">
      <w:pPr>
        <w:pStyle w:val="5"/>
        <w:ind w:firstLine="640" w:firstLineChars="200"/>
        <w:rPr>
          <w:rFonts w:asciiTheme="minorEastAsia" w:hAnsiTheme="minorEastAsia" w:eastAsiaTheme="minorEastAsia"/>
          <w:bCs w:val="0"/>
        </w:rPr>
      </w:pPr>
      <w:bookmarkStart w:id="39" w:name="_Toc440220135"/>
      <w:r>
        <w:rPr>
          <w:rFonts w:hint="eastAsia" w:asciiTheme="minorEastAsia" w:hAnsiTheme="minorEastAsia" w:eastAsiaTheme="minorEastAsia"/>
          <w:bCs w:val="0"/>
        </w:rPr>
        <w:t>（1）</w:t>
      </w:r>
      <w:r>
        <w:rPr>
          <w:rFonts w:hint="eastAsia" w:asciiTheme="minorEastAsia" w:hAnsiTheme="minorEastAsia" w:eastAsiaTheme="minorEastAsia"/>
          <w:bCs w:val="0"/>
          <w:lang w:eastAsia="zh-CN"/>
        </w:rPr>
        <w:t>核查</w:t>
      </w:r>
      <w:r>
        <w:rPr>
          <w:rFonts w:hint="eastAsia" w:asciiTheme="minorEastAsia" w:hAnsiTheme="minorEastAsia" w:eastAsiaTheme="minorEastAsia"/>
          <w:bCs w:val="0"/>
        </w:rPr>
        <w:t>方法选取</w:t>
      </w:r>
      <w:bookmarkEnd w:id="39"/>
    </w:p>
    <w:p w14:paraId="5F77D64F">
      <w:pPr>
        <w:ind w:firstLine="640"/>
        <w:rPr>
          <w:rFonts w:asciiTheme="minorEastAsia" w:hAnsiTheme="minorEastAsia" w:eastAsiaTheme="minorEastAsia"/>
          <w:szCs w:val="32"/>
        </w:rPr>
      </w:pPr>
      <w:r>
        <w:rPr>
          <w:rFonts w:hint="eastAsia" w:asciiTheme="minorEastAsia" w:hAnsiTheme="minorEastAsia" w:eastAsiaTheme="minorEastAsia"/>
          <w:szCs w:val="32"/>
        </w:rPr>
        <w:t>本规范制定的</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方法合理可行、操作简捷、结果可靠、具有通用性。综合考虑安全性和</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成本，</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方法的选择适用于最常使用的情景。标准器的选择符合国家、地方规程、</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规范或者JJF 1094-2002《计量仪器特性评定》，满足要求且未选取精密昂贵的仪器设备。</w:t>
      </w:r>
    </w:p>
    <w:p w14:paraId="13656C71">
      <w:pPr>
        <w:pStyle w:val="5"/>
        <w:ind w:firstLine="640" w:firstLineChars="200"/>
        <w:rPr>
          <w:rFonts w:asciiTheme="minorEastAsia" w:hAnsiTheme="minorEastAsia" w:eastAsiaTheme="minorEastAsia"/>
          <w:bCs w:val="0"/>
        </w:rPr>
      </w:pPr>
      <w:bookmarkStart w:id="40" w:name="_Toc440220136"/>
      <w:r>
        <w:rPr>
          <w:rFonts w:hint="eastAsia" w:asciiTheme="minorEastAsia" w:hAnsiTheme="minorEastAsia" w:eastAsiaTheme="minorEastAsia"/>
          <w:bCs w:val="0"/>
        </w:rPr>
        <w:t>（2）计量性能</w:t>
      </w:r>
      <w:r>
        <w:rPr>
          <w:rFonts w:hint="eastAsia" w:asciiTheme="minorEastAsia" w:hAnsiTheme="minorEastAsia" w:eastAsiaTheme="minorEastAsia"/>
          <w:bCs w:val="0"/>
          <w:lang w:eastAsia="zh-CN"/>
        </w:rPr>
        <w:t>核查</w:t>
      </w:r>
      <w:r>
        <w:rPr>
          <w:rFonts w:hint="eastAsia" w:asciiTheme="minorEastAsia" w:hAnsiTheme="minorEastAsia" w:eastAsiaTheme="minorEastAsia"/>
          <w:bCs w:val="0"/>
        </w:rPr>
        <w:t>前的准备</w:t>
      </w:r>
      <w:bookmarkEnd w:id="40"/>
    </w:p>
    <w:p w14:paraId="34FDF96D">
      <w:pPr>
        <w:ind w:firstLine="640"/>
        <w:rPr>
          <w:rFonts w:asciiTheme="minorEastAsia" w:hAnsiTheme="minorEastAsia" w:eastAsiaTheme="minorEastAsia"/>
          <w:szCs w:val="32"/>
        </w:rPr>
      </w:pPr>
      <w:r>
        <w:rPr>
          <w:rFonts w:hint="eastAsia" w:asciiTheme="minorEastAsia" w:hAnsiTheme="minorEastAsia" w:eastAsiaTheme="minorEastAsia"/>
          <w:szCs w:val="32"/>
        </w:rPr>
        <w:t>为保证数据准确可靠，</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时环境条件应满足：温度（</w:t>
      </w:r>
      <w:r>
        <w:rPr>
          <w:rFonts w:asciiTheme="minorEastAsia" w:hAnsiTheme="minorEastAsia" w:eastAsiaTheme="minorEastAsia"/>
          <w:szCs w:val="32"/>
        </w:rPr>
        <w:t>0</w:t>
      </w:r>
      <w:r>
        <w:rPr>
          <w:rFonts w:hint="eastAsia" w:asciiTheme="minorEastAsia" w:hAnsiTheme="minorEastAsia" w:eastAsiaTheme="minorEastAsia"/>
          <w:szCs w:val="32"/>
        </w:rPr>
        <w:t>～35）℃，</w:t>
      </w:r>
      <w:r>
        <w:rPr>
          <w:rFonts w:hint="eastAsia" w:asciiTheme="minorEastAsia" w:hAnsiTheme="minorEastAsia" w:eastAsiaTheme="minorEastAsia"/>
          <w:szCs w:val="32"/>
          <w:lang w:eastAsia="zh-CN"/>
        </w:rPr>
        <w:t>核查过程中温度变化应不超过 5℃，</w:t>
      </w:r>
      <w:r>
        <w:rPr>
          <w:rFonts w:hint="eastAsia" w:asciiTheme="minorEastAsia" w:hAnsiTheme="minorEastAsia" w:eastAsiaTheme="minorEastAsia"/>
          <w:szCs w:val="32"/>
        </w:rPr>
        <w:t>相对湿度</w:t>
      </w:r>
      <w:r>
        <w:rPr>
          <w:rFonts w:hint="eastAsia" w:asciiTheme="minorEastAsia" w:hAnsiTheme="minorEastAsia" w:eastAsiaTheme="minorEastAsia"/>
          <w:szCs w:val="32"/>
          <w:lang w:val="en-US" w:eastAsia="zh-CN"/>
        </w:rPr>
        <w:t>35%</w:t>
      </w:r>
      <w:r>
        <w:rPr>
          <w:rFonts w:hint="eastAsia" w:asciiTheme="minorEastAsia" w:hAnsiTheme="minorEastAsia" w:eastAsiaTheme="minorEastAsia"/>
          <w:szCs w:val="32"/>
          <w:lang w:eastAsia="zh-CN"/>
        </w:rPr>
        <w:t>～</w:t>
      </w:r>
      <w:r>
        <w:rPr>
          <w:rFonts w:hint="eastAsia" w:asciiTheme="minorEastAsia" w:hAnsiTheme="minorEastAsia" w:eastAsiaTheme="minorEastAsia"/>
          <w:szCs w:val="32"/>
          <w:lang w:val="en-US" w:eastAsia="zh-CN"/>
        </w:rPr>
        <w:t>8</w:t>
      </w:r>
      <w:r>
        <w:rPr>
          <w:rFonts w:hint="eastAsia" w:asciiTheme="minorEastAsia" w:hAnsiTheme="minorEastAsia" w:eastAsiaTheme="minorEastAsia"/>
          <w:szCs w:val="32"/>
          <w:lang w:eastAsia="zh-CN"/>
        </w:rPr>
        <w:t>5%</w:t>
      </w:r>
      <w:r>
        <w:rPr>
          <w:rFonts w:hint="eastAsia" w:asciiTheme="minorEastAsia" w:hAnsiTheme="minorEastAsia" w:eastAsiaTheme="minorEastAsia"/>
          <w:szCs w:val="32"/>
        </w:rPr>
        <w:t>。</w:t>
      </w:r>
    </w:p>
    <w:p w14:paraId="0E56A44A">
      <w:pPr>
        <w:pStyle w:val="5"/>
      </w:pPr>
      <w:bookmarkStart w:id="41" w:name="_Toc16831"/>
      <w:bookmarkStart w:id="42" w:name="_Toc605"/>
      <w:bookmarkStart w:id="43" w:name="_Toc440220137"/>
      <w:r>
        <w:rPr>
          <w:rFonts w:hint="eastAsia"/>
        </w:rPr>
        <w:t>10）</w:t>
      </w:r>
      <w:r>
        <w:rPr>
          <w:rFonts w:hint="eastAsia"/>
          <w:lang w:eastAsia="zh-CN"/>
        </w:rPr>
        <w:t>核查</w:t>
      </w:r>
      <w:r>
        <w:rPr>
          <w:rFonts w:hint="eastAsia"/>
        </w:rPr>
        <w:t>结果的表示</w:t>
      </w:r>
      <w:bookmarkEnd w:id="41"/>
      <w:bookmarkEnd w:id="42"/>
      <w:bookmarkEnd w:id="43"/>
    </w:p>
    <w:p w14:paraId="2CE96E9F">
      <w:pPr>
        <w:ind w:firstLine="640"/>
        <w:rPr>
          <w:rFonts w:asciiTheme="minorEastAsia" w:hAnsiTheme="minorEastAsia" w:eastAsiaTheme="minorEastAsia"/>
          <w:szCs w:val="32"/>
        </w:rPr>
      </w:pPr>
      <w:r>
        <w:rPr>
          <w:rFonts w:hint="eastAsia" w:asciiTheme="minorEastAsia" w:hAnsiTheme="minorEastAsia" w:eastAsiaTheme="minorEastAsia"/>
          <w:szCs w:val="32"/>
        </w:rPr>
        <w:t>（1）</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结果的表达应符合JJF 1071等文件的要求；</w:t>
      </w:r>
    </w:p>
    <w:p w14:paraId="12458508">
      <w:pPr>
        <w:ind w:firstLine="640"/>
        <w:rPr>
          <w:rFonts w:asciiTheme="minorEastAsia" w:hAnsiTheme="minorEastAsia" w:eastAsiaTheme="minorEastAsia"/>
          <w:szCs w:val="32"/>
        </w:rPr>
      </w:pPr>
      <w:r>
        <w:rPr>
          <w:rFonts w:hint="eastAsia" w:asciiTheme="minorEastAsia" w:hAnsiTheme="minorEastAsia" w:eastAsiaTheme="minorEastAsia"/>
          <w:szCs w:val="32"/>
        </w:rPr>
        <w:t>（2）列出</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项目的</w:t>
      </w:r>
      <w:r>
        <w:rPr>
          <w:rFonts w:hint="eastAsia" w:asciiTheme="minorEastAsia" w:hAnsiTheme="minorEastAsia" w:eastAsiaTheme="minorEastAsia"/>
          <w:szCs w:val="32"/>
          <w:lang w:eastAsia="zh-CN"/>
        </w:rPr>
        <w:t>核查</w:t>
      </w:r>
      <w:r>
        <w:rPr>
          <w:rFonts w:hint="eastAsia" w:asciiTheme="minorEastAsia" w:hAnsiTheme="minorEastAsia" w:eastAsiaTheme="minorEastAsia"/>
          <w:szCs w:val="32"/>
        </w:rPr>
        <w:t>结果及测量结果的扩展不确定度。</w:t>
      </w:r>
    </w:p>
    <w:p w14:paraId="2D27866A">
      <w:pPr>
        <w:ind w:firstLine="640"/>
        <w:rPr>
          <w:szCs w:val="32"/>
        </w:rPr>
      </w:pPr>
      <w:r>
        <w:rPr>
          <w:rFonts w:hint="eastAsia" w:asciiTheme="minorEastAsia" w:hAnsiTheme="minorEastAsia" w:eastAsiaTheme="minorEastAsia"/>
          <w:szCs w:val="32"/>
        </w:rPr>
        <w:tab/>
      </w:r>
      <w:r>
        <w:rPr>
          <w:rFonts w:hint="eastAsia"/>
          <w:szCs w:val="32"/>
        </w:rPr>
        <w:tab/>
      </w:r>
      <w:r>
        <w:rPr>
          <w:rFonts w:hint="eastAsia"/>
          <w:szCs w:val="32"/>
        </w:rPr>
        <w:tab/>
      </w:r>
      <w:r>
        <w:rPr>
          <w:rFonts w:hint="eastAsia"/>
          <w:szCs w:val="32"/>
        </w:rPr>
        <w:tab/>
      </w:r>
    </w:p>
    <w:p w14:paraId="605C5AC3">
      <w:pPr>
        <w:tabs>
          <w:tab w:val="left" w:pos="6901"/>
        </w:tabs>
        <w:ind w:firstLine="1280" w:firstLineChars="400"/>
        <w:rPr>
          <w:rFonts w:asciiTheme="minorEastAsia" w:hAnsiTheme="minorEastAsia" w:eastAsiaTheme="minorEastAsia"/>
          <w:szCs w:val="32"/>
        </w:rPr>
      </w:pPr>
      <w:r>
        <w:rPr>
          <w:rFonts w:hint="eastAsia" w:asciiTheme="minorEastAsia" w:hAnsiTheme="minorEastAsia" w:eastAsiaTheme="minorEastAsia"/>
          <w:szCs w:val="32"/>
        </w:rPr>
        <w:t>《</w:t>
      </w:r>
      <w:r>
        <w:rPr>
          <w:rFonts w:hint="eastAsia" w:asciiTheme="minorEastAsia" w:hAnsiTheme="minorEastAsia" w:eastAsiaTheme="minorEastAsia" w:cstheme="minorEastAsia"/>
          <w:szCs w:val="32"/>
          <w:lang w:val="en-US" w:eastAsia="zh-CN"/>
        </w:rPr>
        <w:t>油库容积式流量计状态核查计量技术规范</w:t>
      </w:r>
      <w:r>
        <w:rPr>
          <w:rFonts w:hint="eastAsia" w:asciiTheme="minorEastAsia" w:hAnsiTheme="minorEastAsia" w:eastAsiaTheme="minorEastAsia"/>
          <w:szCs w:val="32"/>
        </w:rPr>
        <w:t>》</w:t>
      </w:r>
      <w:r>
        <w:rPr>
          <w:rFonts w:hint="eastAsia" w:asciiTheme="minorEastAsia" w:hAnsiTheme="minorEastAsia" w:eastAsiaTheme="minorEastAsia"/>
          <w:szCs w:val="32"/>
          <w:lang w:val="en-US" w:eastAsia="zh-CN"/>
        </w:rPr>
        <w:t>规范</w:t>
      </w:r>
      <w:r>
        <w:rPr>
          <w:rFonts w:hint="eastAsia" w:asciiTheme="minorEastAsia" w:hAnsiTheme="minorEastAsia" w:eastAsiaTheme="minorEastAsia"/>
        </w:rPr>
        <w:t>起草组</w:t>
      </w:r>
    </w:p>
    <w:p w14:paraId="5212C4E7">
      <w:pPr>
        <w:ind w:firstLine="640"/>
        <w:jc w:val="center"/>
        <w:outlineLvl w:val="0"/>
        <w:rPr>
          <w:rFonts w:asciiTheme="minorEastAsia" w:hAnsiTheme="minorEastAsia" w:eastAsiaTheme="minorEastAsia"/>
          <w:szCs w:val="32"/>
        </w:rPr>
      </w:pPr>
      <w:r>
        <w:rPr>
          <w:rFonts w:hint="eastAsia" w:asciiTheme="minorEastAsia" w:hAnsiTheme="minorEastAsia" w:eastAsiaTheme="minorEastAsia"/>
        </w:rPr>
        <w:t xml:space="preserve">                               </w:t>
      </w:r>
      <w:bookmarkStart w:id="44" w:name="_Toc26672"/>
      <w:bookmarkStart w:id="45" w:name="_Toc29974"/>
      <w:r>
        <w:rPr>
          <w:rFonts w:hint="eastAsia" w:asciiTheme="minorEastAsia" w:hAnsiTheme="minorEastAsia" w:eastAsiaTheme="minorEastAsia"/>
        </w:rPr>
        <w:t>202</w:t>
      </w:r>
      <w:bookmarkStart w:id="46" w:name="_GoBack"/>
      <w:bookmarkEnd w:id="46"/>
      <w:r>
        <w:rPr>
          <w:rFonts w:hint="eastAsia" w:asciiTheme="minorEastAsia" w:hAnsiTheme="minorEastAsia" w:eastAsiaTheme="minorEastAsia"/>
          <w:lang w:val="en-US" w:eastAsia="zh-CN"/>
        </w:rPr>
        <w:t>5</w:t>
      </w:r>
      <w:r>
        <w:rPr>
          <w:rFonts w:hint="eastAsia" w:asciiTheme="minorEastAsia" w:hAnsiTheme="minorEastAsia" w:eastAsiaTheme="minorEastAsia"/>
        </w:rPr>
        <w:t>年1</w:t>
      </w:r>
      <w:r>
        <w:rPr>
          <w:rFonts w:hint="eastAsia" w:asciiTheme="minorEastAsia" w:hAnsiTheme="minorEastAsia" w:eastAsiaTheme="minorEastAsia"/>
          <w:lang w:val="en-US" w:eastAsia="zh-CN"/>
        </w:rPr>
        <w:t>0</w:t>
      </w:r>
      <w:r>
        <w:rPr>
          <w:rFonts w:hint="eastAsia" w:asciiTheme="minorEastAsia" w:hAnsiTheme="minorEastAsia" w:eastAsiaTheme="minorEastAsia"/>
        </w:rPr>
        <w:t>月</w:t>
      </w:r>
      <w:r>
        <w:rPr>
          <w:rFonts w:hint="eastAsia" w:asciiTheme="minorEastAsia" w:hAnsiTheme="minorEastAsia" w:eastAsiaTheme="minorEastAsia"/>
          <w:lang w:val="en-US" w:eastAsia="zh-CN"/>
        </w:rPr>
        <w:t>20</w:t>
      </w:r>
      <w:r>
        <w:rPr>
          <w:rFonts w:hint="eastAsia" w:asciiTheme="minorEastAsia" w:hAnsiTheme="minorEastAsia" w:eastAsiaTheme="minorEastAsia"/>
        </w:rPr>
        <w:t>日</w:t>
      </w:r>
      <w:bookmarkEnd w:id="44"/>
      <w:bookmarkEnd w:id="45"/>
    </w:p>
    <w:sectPr>
      <w:pgSz w:w="11906" w:h="16838"/>
      <w:pgMar w:top="1247" w:right="1247" w:bottom="1247" w:left="1247" w:header="851" w:footer="85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光小标宋_CNKI">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757B">
    <w:pPr>
      <w:pStyle w:val="14"/>
      <w:framePr w:wrap="around" w:vAnchor="text" w:hAnchor="margin" w:xAlign="center" w:y="1"/>
      <w:ind w:firstLine="420"/>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5</w:t>
    </w:r>
    <w:r>
      <w:rPr>
        <w:sz w:val="21"/>
        <w:szCs w:val="21"/>
      </w:rPr>
      <w:fldChar w:fldCharType="end"/>
    </w:r>
  </w:p>
  <w:p w14:paraId="2B23A7CE">
    <w:pPr>
      <w:pStyle w:val="14"/>
      <w:ind w:right="360" w:firstLine="42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F578">
    <w:pPr>
      <w:pStyle w:val="14"/>
      <w:framePr w:wrap="around" w:vAnchor="text" w:hAnchor="margin" w:xAlign="center" w:y="1"/>
      <w:ind w:firstLine="360"/>
      <w:rPr>
        <w:rStyle w:val="23"/>
      </w:rPr>
    </w:pPr>
    <w:r>
      <w:fldChar w:fldCharType="begin"/>
    </w:r>
    <w:r>
      <w:rPr>
        <w:rStyle w:val="23"/>
      </w:rPr>
      <w:instrText xml:space="preserve">PAGE  </w:instrText>
    </w:r>
    <w:r>
      <w:fldChar w:fldCharType="end"/>
    </w:r>
  </w:p>
  <w:p w14:paraId="2481D204">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2B0D">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AB3F">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6358">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56D7B"/>
    <w:multiLevelType w:val="multilevel"/>
    <w:tmpl w:val="3CD56D7B"/>
    <w:lvl w:ilvl="0" w:tentative="0">
      <w:start w:val="7"/>
      <w:numFmt w:val="decimal"/>
      <w:pStyle w:val="1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FAAD6DE"/>
    <w:multiLevelType w:val="singleLevel"/>
    <w:tmpl w:val="4FAAD6DE"/>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NDgyNmEwMDQxOTA3Y2Q1YWUwZDg4ZTUyYWY3NjgifQ=="/>
  </w:docVars>
  <w:rsids>
    <w:rsidRoot w:val="00D53DBC"/>
    <w:rsid w:val="00003CEC"/>
    <w:rsid w:val="00006EC7"/>
    <w:rsid w:val="00006F82"/>
    <w:rsid w:val="00007635"/>
    <w:rsid w:val="00015612"/>
    <w:rsid w:val="00016067"/>
    <w:rsid w:val="000209FC"/>
    <w:rsid w:val="000228BA"/>
    <w:rsid w:val="0002689E"/>
    <w:rsid w:val="0003045D"/>
    <w:rsid w:val="00032A4B"/>
    <w:rsid w:val="00032CE7"/>
    <w:rsid w:val="000372C5"/>
    <w:rsid w:val="00042C37"/>
    <w:rsid w:val="0004386C"/>
    <w:rsid w:val="00050668"/>
    <w:rsid w:val="000515AA"/>
    <w:rsid w:val="00057460"/>
    <w:rsid w:val="0007060D"/>
    <w:rsid w:val="00070E17"/>
    <w:rsid w:val="000721E5"/>
    <w:rsid w:val="000850F7"/>
    <w:rsid w:val="000857DE"/>
    <w:rsid w:val="00087225"/>
    <w:rsid w:val="000900DA"/>
    <w:rsid w:val="00091D3F"/>
    <w:rsid w:val="000948C5"/>
    <w:rsid w:val="000A1ED9"/>
    <w:rsid w:val="000A2264"/>
    <w:rsid w:val="000A2D5B"/>
    <w:rsid w:val="000A33FA"/>
    <w:rsid w:val="000A36C3"/>
    <w:rsid w:val="000A3D1E"/>
    <w:rsid w:val="000A4193"/>
    <w:rsid w:val="000A57A5"/>
    <w:rsid w:val="000A69A7"/>
    <w:rsid w:val="000A70A6"/>
    <w:rsid w:val="000B2130"/>
    <w:rsid w:val="000B221C"/>
    <w:rsid w:val="000B32C9"/>
    <w:rsid w:val="000B39AB"/>
    <w:rsid w:val="000B577F"/>
    <w:rsid w:val="000B5AAF"/>
    <w:rsid w:val="000B7929"/>
    <w:rsid w:val="000C0435"/>
    <w:rsid w:val="000C3048"/>
    <w:rsid w:val="000C6004"/>
    <w:rsid w:val="000D0D51"/>
    <w:rsid w:val="000D2F82"/>
    <w:rsid w:val="000D4904"/>
    <w:rsid w:val="000D548E"/>
    <w:rsid w:val="000D5566"/>
    <w:rsid w:val="000D6FBC"/>
    <w:rsid w:val="000D7ADB"/>
    <w:rsid w:val="000E3695"/>
    <w:rsid w:val="000E6113"/>
    <w:rsid w:val="000F5515"/>
    <w:rsid w:val="000F5C21"/>
    <w:rsid w:val="0010276E"/>
    <w:rsid w:val="001042F3"/>
    <w:rsid w:val="00104C48"/>
    <w:rsid w:val="00104F16"/>
    <w:rsid w:val="00105FBD"/>
    <w:rsid w:val="00107C51"/>
    <w:rsid w:val="001126C8"/>
    <w:rsid w:val="00112EF3"/>
    <w:rsid w:val="0011428E"/>
    <w:rsid w:val="00115C77"/>
    <w:rsid w:val="00115DDD"/>
    <w:rsid w:val="0011615B"/>
    <w:rsid w:val="00116C00"/>
    <w:rsid w:val="00126F23"/>
    <w:rsid w:val="001409C9"/>
    <w:rsid w:val="00141DE7"/>
    <w:rsid w:val="00143043"/>
    <w:rsid w:val="00145062"/>
    <w:rsid w:val="0015036A"/>
    <w:rsid w:val="00150860"/>
    <w:rsid w:val="00153EF8"/>
    <w:rsid w:val="0015577E"/>
    <w:rsid w:val="00157198"/>
    <w:rsid w:val="00163C03"/>
    <w:rsid w:val="00166FAB"/>
    <w:rsid w:val="00167728"/>
    <w:rsid w:val="001734D6"/>
    <w:rsid w:val="00174CD5"/>
    <w:rsid w:val="00175452"/>
    <w:rsid w:val="00175B05"/>
    <w:rsid w:val="00182F99"/>
    <w:rsid w:val="00186BAE"/>
    <w:rsid w:val="001915AD"/>
    <w:rsid w:val="001917EF"/>
    <w:rsid w:val="001922CC"/>
    <w:rsid w:val="001941E7"/>
    <w:rsid w:val="00196541"/>
    <w:rsid w:val="001A38E9"/>
    <w:rsid w:val="001A66C9"/>
    <w:rsid w:val="001A6985"/>
    <w:rsid w:val="001B0DB6"/>
    <w:rsid w:val="001B142B"/>
    <w:rsid w:val="001B1EE8"/>
    <w:rsid w:val="001B4533"/>
    <w:rsid w:val="001B58C0"/>
    <w:rsid w:val="001B5A3F"/>
    <w:rsid w:val="001B5A65"/>
    <w:rsid w:val="001B6AC5"/>
    <w:rsid w:val="001C0DA1"/>
    <w:rsid w:val="001C1473"/>
    <w:rsid w:val="001C15A9"/>
    <w:rsid w:val="001C1F1F"/>
    <w:rsid w:val="001C7308"/>
    <w:rsid w:val="001D0FD3"/>
    <w:rsid w:val="001D1215"/>
    <w:rsid w:val="001D6781"/>
    <w:rsid w:val="001E1624"/>
    <w:rsid w:val="001E1992"/>
    <w:rsid w:val="001E31EE"/>
    <w:rsid w:val="001E4431"/>
    <w:rsid w:val="001E5136"/>
    <w:rsid w:val="001E7A42"/>
    <w:rsid w:val="001F4F45"/>
    <w:rsid w:val="002006FE"/>
    <w:rsid w:val="00202B51"/>
    <w:rsid w:val="002064DB"/>
    <w:rsid w:val="002252F6"/>
    <w:rsid w:val="00231A7F"/>
    <w:rsid w:val="00234158"/>
    <w:rsid w:val="00234C8C"/>
    <w:rsid w:val="00243107"/>
    <w:rsid w:val="00243DC6"/>
    <w:rsid w:val="00245601"/>
    <w:rsid w:val="0024594B"/>
    <w:rsid w:val="00247F26"/>
    <w:rsid w:val="00251838"/>
    <w:rsid w:val="002520B0"/>
    <w:rsid w:val="00257DBF"/>
    <w:rsid w:val="0026082D"/>
    <w:rsid w:val="00261986"/>
    <w:rsid w:val="00261B13"/>
    <w:rsid w:val="002642E7"/>
    <w:rsid w:val="00264F57"/>
    <w:rsid w:val="0026579D"/>
    <w:rsid w:val="00266EE2"/>
    <w:rsid w:val="00267191"/>
    <w:rsid w:val="00270B8B"/>
    <w:rsid w:val="00271688"/>
    <w:rsid w:val="00275A70"/>
    <w:rsid w:val="00281E59"/>
    <w:rsid w:val="002867CB"/>
    <w:rsid w:val="0028687E"/>
    <w:rsid w:val="002960B5"/>
    <w:rsid w:val="002A4181"/>
    <w:rsid w:val="002A62D7"/>
    <w:rsid w:val="002A6733"/>
    <w:rsid w:val="002A7B01"/>
    <w:rsid w:val="002B2266"/>
    <w:rsid w:val="002B327D"/>
    <w:rsid w:val="002B3B53"/>
    <w:rsid w:val="002D0F91"/>
    <w:rsid w:val="002D1295"/>
    <w:rsid w:val="002D1F41"/>
    <w:rsid w:val="002D22C1"/>
    <w:rsid w:val="002D3C0C"/>
    <w:rsid w:val="002D666D"/>
    <w:rsid w:val="002E194E"/>
    <w:rsid w:val="002E3BD7"/>
    <w:rsid w:val="002E43EB"/>
    <w:rsid w:val="002F0803"/>
    <w:rsid w:val="002F446F"/>
    <w:rsid w:val="002F727F"/>
    <w:rsid w:val="003004E1"/>
    <w:rsid w:val="003015CF"/>
    <w:rsid w:val="0030227B"/>
    <w:rsid w:val="00306084"/>
    <w:rsid w:val="003062BA"/>
    <w:rsid w:val="00306B88"/>
    <w:rsid w:val="0030766D"/>
    <w:rsid w:val="00313A24"/>
    <w:rsid w:val="00316997"/>
    <w:rsid w:val="003229ED"/>
    <w:rsid w:val="00323AD5"/>
    <w:rsid w:val="003310C5"/>
    <w:rsid w:val="00334521"/>
    <w:rsid w:val="003350BC"/>
    <w:rsid w:val="00335434"/>
    <w:rsid w:val="00342B92"/>
    <w:rsid w:val="003511F0"/>
    <w:rsid w:val="00361380"/>
    <w:rsid w:val="00362131"/>
    <w:rsid w:val="00362749"/>
    <w:rsid w:val="00364F29"/>
    <w:rsid w:val="00367F45"/>
    <w:rsid w:val="003702F2"/>
    <w:rsid w:val="00371770"/>
    <w:rsid w:val="003760CA"/>
    <w:rsid w:val="003828BA"/>
    <w:rsid w:val="00386F78"/>
    <w:rsid w:val="00391128"/>
    <w:rsid w:val="0039536A"/>
    <w:rsid w:val="003A31DF"/>
    <w:rsid w:val="003A54BC"/>
    <w:rsid w:val="003A6145"/>
    <w:rsid w:val="003A71BF"/>
    <w:rsid w:val="003B0EE7"/>
    <w:rsid w:val="003B41FE"/>
    <w:rsid w:val="003B4260"/>
    <w:rsid w:val="003B7868"/>
    <w:rsid w:val="003C3F3F"/>
    <w:rsid w:val="003C466C"/>
    <w:rsid w:val="003C52D4"/>
    <w:rsid w:val="003D3CF8"/>
    <w:rsid w:val="003D4D8E"/>
    <w:rsid w:val="003E0BA8"/>
    <w:rsid w:val="003E4104"/>
    <w:rsid w:val="003E5294"/>
    <w:rsid w:val="003E5B13"/>
    <w:rsid w:val="003E6D86"/>
    <w:rsid w:val="003E6F46"/>
    <w:rsid w:val="003E75C7"/>
    <w:rsid w:val="003F1688"/>
    <w:rsid w:val="003F3BD3"/>
    <w:rsid w:val="003F74B8"/>
    <w:rsid w:val="003F7FB6"/>
    <w:rsid w:val="00401F8B"/>
    <w:rsid w:val="0040314C"/>
    <w:rsid w:val="004047F3"/>
    <w:rsid w:val="00404E8F"/>
    <w:rsid w:val="00405CAC"/>
    <w:rsid w:val="0040625E"/>
    <w:rsid w:val="004077F5"/>
    <w:rsid w:val="00410180"/>
    <w:rsid w:val="00410A66"/>
    <w:rsid w:val="00410BC7"/>
    <w:rsid w:val="00410FAF"/>
    <w:rsid w:val="00414235"/>
    <w:rsid w:val="0041740D"/>
    <w:rsid w:val="00425E9F"/>
    <w:rsid w:val="0042663A"/>
    <w:rsid w:val="004276A5"/>
    <w:rsid w:val="00427C1A"/>
    <w:rsid w:val="00431A35"/>
    <w:rsid w:val="00433F02"/>
    <w:rsid w:val="004353E6"/>
    <w:rsid w:val="00443AE0"/>
    <w:rsid w:val="00444EF1"/>
    <w:rsid w:val="00445DFE"/>
    <w:rsid w:val="004507D6"/>
    <w:rsid w:val="004518E8"/>
    <w:rsid w:val="00454BB0"/>
    <w:rsid w:val="00455C17"/>
    <w:rsid w:val="00456A94"/>
    <w:rsid w:val="0046288A"/>
    <w:rsid w:val="00462B5B"/>
    <w:rsid w:val="00464254"/>
    <w:rsid w:val="00466EB4"/>
    <w:rsid w:val="00467C98"/>
    <w:rsid w:val="00474A65"/>
    <w:rsid w:val="0047547B"/>
    <w:rsid w:val="0048148C"/>
    <w:rsid w:val="00481F7E"/>
    <w:rsid w:val="00487638"/>
    <w:rsid w:val="00495AC0"/>
    <w:rsid w:val="00497E3E"/>
    <w:rsid w:val="004A0125"/>
    <w:rsid w:val="004A139F"/>
    <w:rsid w:val="004A29A6"/>
    <w:rsid w:val="004A2EC4"/>
    <w:rsid w:val="004A35C9"/>
    <w:rsid w:val="004A6430"/>
    <w:rsid w:val="004B1771"/>
    <w:rsid w:val="004B353F"/>
    <w:rsid w:val="004B595A"/>
    <w:rsid w:val="004B60A4"/>
    <w:rsid w:val="004B6AC7"/>
    <w:rsid w:val="004C1151"/>
    <w:rsid w:val="004C45BC"/>
    <w:rsid w:val="004D33D3"/>
    <w:rsid w:val="004D64A8"/>
    <w:rsid w:val="004E0566"/>
    <w:rsid w:val="004E248C"/>
    <w:rsid w:val="004E33DA"/>
    <w:rsid w:val="004F0B93"/>
    <w:rsid w:val="004F256B"/>
    <w:rsid w:val="0050204D"/>
    <w:rsid w:val="0050223F"/>
    <w:rsid w:val="00506B32"/>
    <w:rsid w:val="00510016"/>
    <w:rsid w:val="00510079"/>
    <w:rsid w:val="00511580"/>
    <w:rsid w:val="00511CFC"/>
    <w:rsid w:val="00515F57"/>
    <w:rsid w:val="005173FE"/>
    <w:rsid w:val="005207A4"/>
    <w:rsid w:val="00521585"/>
    <w:rsid w:val="0052261C"/>
    <w:rsid w:val="00525F28"/>
    <w:rsid w:val="00530EBB"/>
    <w:rsid w:val="00530F0C"/>
    <w:rsid w:val="0053437E"/>
    <w:rsid w:val="0054189A"/>
    <w:rsid w:val="00543E54"/>
    <w:rsid w:val="005440C1"/>
    <w:rsid w:val="005444D2"/>
    <w:rsid w:val="00547A87"/>
    <w:rsid w:val="00552806"/>
    <w:rsid w:val="00557247"/>
    <w:rsid w:val="00561DAF"/>
    <w:rsid w:val="00561F29"/>
    <w:rsid w:val="00563FF7"/>
    <w:rsid w:val="0056651F"/>
    <w:rsid w:val="005717CD"/>
    <w:rsid w:val="0057460A"/>
    <w:rsid w:val="0057546B"/>
    <w:rsid w:val="00581021"/>
    <w:rsid w:val="00581351"/>
    <w:rsid w:val="00584246"/>
    <w:rsid w:val="0058558D"/>
    <w:rsid w:val="00586ED1"/>
    <w:rsid w:val="005921DE"/>
    <w:rsid w:val="00592B44"/>
    <w:rsid w:val="005963FA"/>
    <w:rsid w:val="005A1E5F"/>
    <w:rsid w:val="005A1E8D"/>
    <w:rsid w:val="005A477B"/>
    <w:rsid w:val="005B076B"/>
    <w:rsid w:val="005B7B87"/>
    <w:rsid w:val="005C158C"/>
    <w:rsid w:val="005C1948"/>
    <w:rsid w:val="005C1BED"/>
    <w:rsid w:val="005C27E2"/>
    <w:rsid w:val="005C3807"/>
    <w:rsid w:val="005C6CAF"/>
    <w:rsid w:val="005C7C82"/>
    <w:rsid w:val="005D5C3F"/>
    <w:rsid w:val="005E0494"/>
    <w:rsid w:val="005E3306"/>
    <w:rsid w:val="005F079D"/>
    <w:rsid w:val="005F5DEE"/>
    <w:rsid w:val="00601019"/>
    <w:rsid w:val="00602DCC"/>
    <w:rsid w:val="00603E66"/>
    <w:rsid w:val="00605AFD"/>
    <w:rsid w:val="00606A61"/>
    <w:rsid w:val="00607DB0"/>
    <w:rsid w:val="00612B27"/>
    <w:rsid w:val="00616B7C"/>
    <w:rsid w:val="0061760F"/>
    <w:rsid w:val="00620D6D"/>
    <w:rsid w:val="00630D75"/>
    <w:rsid w:val="00631165"/>
    <w:rsid w:val="00631500"/>
    <w:rsid w:val="00631CAB"/>
    <w:rsid w:val="00631EF3"/>
    <w:rsid w:val="00633800"/>
    <w:rsid w:val="00633EDD"/>
    <w:rsid w:val="00637622"/>
    <w:rsid w:val="006376DA"/>
    <w:rsid w:val="006407CC"/>
    <w:rsid w:val="0064235D"/>
    <w:rsid w:val="006469EF"/>
    <w:rsid w:val="00655BF3"/>
    <w:rsid w:val="00657F2E"/>
    <w:rsid w:val="00667357"/>
    <w:rsid w:val="00670A8C"/>
    <w:rsid w:val="00673A0E"/>
    <w:rsid w:val="00676DED"/>
    <w:rsid w:val="006902B3"/>
    <w:rsid w:val="00696221"/>
    <w:rsid w:val="006968BA"/>
    <w:rsid w:val="00697132"/>
    <w:rsid w:val="006972D5"/>
    <w:rsid w:val="006A2A13"/>
    <w:rsid w:val="006A3F12"/>
    <w:rsid w:val="006A50C9"/>
    <w:rsid w:val="006B3F49"/>
    <w:rsid w:val="006B47CE"/>
    <w:rsid w:val="006B7C2C"/>
    <w:rsid w:val="006C0DC1"/>
    <w:rsid w:val="006C3149"/>
    <w:rsid w:val="006C5811"/>
    <w:rsid w:val="006C65C4"/>
    <w:rsid w:val="006C66D2"/>
    <w:rsid w:val="006D0254"/>
    <w:rsid w:val="006D2B87"/>
    <w:rsid w:val="006D308B"/>
    <w:rsid w:val="006D48FB"/>
    <w:rsid w:val="006D49A8"/>
    <w:rsid w:val="006D4E3B"/>
    <w:rsid w:val="006D53B5"/>
    <w:rsid w:val="006D6ED9"/>
    <w:rsid w:val="006E02AA"/>
    <w:rsid w:val="006E3D28"/>
    <w:rsid w:val="006E6CD8"/>
    <w:rsid w:val="006F106E"/>
    <w:rsid w:val="006F156B"/>
    <w:rsid w:val="006F3755"/>
    <w:rsid w:val="006F581D"/>
    <w:rsid w:val="006F5F68"/>
    <w:rsid w:val="00701468"/>
    <w:rsid w:val="007030CB"/>
    <w:rsid w:val="00704BB2"/>
    <w:rsid w:val="0070546E"/>
    <w:rsid w:val="00705E84"/>
    <w:rsid w:val="007061DD"/>
    <w:rsid w:val="00716CB2"/>
    <w:rsid w:val="00720B0E"/>
    <w:rsid w:val="00724112"/>
    <w:rsid w:val="007256B4"/>
    <w:rsid w:val="007262AF"/>
    <w:rsid w:val="007264A6"/>
    <w:rsid w:val="00730473"/>
    <w:rsid w:val="007323EA"/>
    <w:rsid w:val="00732F63"/>
    <w:rsid w:val="00736224"/>
    <w:rsid w:val="00741066"/>
    <w:rsid w:val="007410E3"/>
    <w:rsid w:val="007420F1"/>
    <w:rsid w:val="00742583"/>
    <w:rsid w:val="0075154A"/>
    <w:rsid w:val="007528DF"/>
    <w:rsid w:val="007542F3"/>
    <w:rsid w:val="00755215"/>
    <w:rsid w:val="00762AED"/>
    <w:rsid w:val="0076327C"/>
    <w:rsid w:val="00766F54"/>
    <w:rsid w:val="00770E4E"/>
    <w:rsid w:val="00771F74"/>
    <w:rsid w:val="00773B35"/>
    <w:rsid w:val="00774C6A"/>
    <w:rsid w:val="00774F11"/>
    <w:rsid w:val="00786D3E"/>
    <w:rsid w:val="00790013"/>
    <w:rsid w:val="007915BB"/>
    <w:rsid w:val="00792B61"/>
    <w:rsid w:val="007954CA"/>
    <w:rsid w:val="007A02F4"/>
    <w:rsid w:val="007A278B"/>
    <w:rsid w:val="007A4129"/>
    <w:rsid w:val="007B27FC"/>
    <w:rsid w:val="007B73B7"/>
    <w:rsid w:val="007C00A9"/>
    <w:rsid w:val="007C208A"/>
    <w:rsid w:val="007C4308"/>
    <w:rsid w:val="007C6243"/>
    <w:rsid w:val="007E2AD1"/>
    <w:rsid w:val="007E336C"/>
    <w:rsid w:val="007E4258"/>
    <w:rsid w:val="007E4564"/>
    <w:rsid w:val="007E47C7"/>
    <w:rsid w:val="007E7A71"/>
    <w:rsid w:val="007F07AD"/>
    <w:rsid w:val="007F08E2"/>
    <w:rsid w:val="007F44F5"/>
    <w:rsid w:val="008016CF"/>
    <w:rsid w:val="008038AB"/>
    <w:rsid w:val="00803CAA"/>
    <w:rsid w:val="00805315"/>
    <w:rsid w:val="00805FA4"/>
    <w:rsid w:val="008065ED"/>
    <w:rsid w:val="0080708E"/>
    <w:rsid w:val="008117F5"/>
    <w:rsid w:val="00814EFE"/>
    <w:rsid w:val="00820853"/>
    <w:rsid w:val="00824438"/>
    <w:rsid w:val="008273EE"/>
    <w:rsid w:val="00827D4E"/>
    <w:rsid w:val="00834A60"/>
    <w:rsid w:val="00837075"/>
    <w:rsid w:val="00840319"/>
    <w:rsid w:val="00840FDF"/>
    <w:rsid w:val="008420E5"/>
    <w:rsid w:val="0084235B"/>
    <w:rsid w:val="0084254B"/>
    <w:rsid w:val="00843DA1"/>
    <w:rsid w:val="0084726B"/>
    <w:rsid w:val="00847281"/>
    <w:rsid w:val="00851721"/>
    <w:rsid w:val="008526E7"/>
    <w:rsid w:val="00855146"/>
    <w:rsid w:val="00855F1A"/>
    <w:rsid w:val="00870B61"/>
    <w:rsid w:val="008720CE"/>
    <w:rsid w:val="00876F7A"/>
    <w:rsid w:val="0088050B"/>
    <w:rsid w:val="008832AE"/>
    <w:rsid w:val="00885D87"/>
    <w:rsid w:val="00886ABD"/>
    <w:rsid w:val="00887883"/>
    <w:rsid w:val="008969BA"/>
    <w:rsid w:val="008A1593"/>
    <w:rsid w:val="008A3313"/>
    <w:rsid w:val="008A3F2D"/>
    <w:rsid w:val="008A5FD0"/>
    <w:rsid w:val="008B0F8C"/>
    <w:rsid w:val="008B10F1"/>
    <w:rsid w:val="008B15FC"/>
    <w:rsid w:val="008B33B7"/>
    <w:rsid w:val="008B7AD3"/>
    <w:rsid w:val="008C5503"/>
    <w:rsid w:val="008C59DE"/>
    <w:rsid w:val="008C7389"/>
    <w:rsid w:val="008D2283"/>
    <w:rsid w:val="008D3F0F"/>
    <w:rsid w:val="008D57AF"/>
    <w:rsid w:val="008E3667"/>
    <w:rsid w:val="008E4A87"/>
    <w:rsid w:val="008E74E7"/>
    <w:rsid w:val="008E774D"/>
    <w:rsid w:val="008F3FA2"/>
    <w:rsid w:val="008F4562"/>
    <w:rsid w:val="008F4C4C"/>
    <w:rsid w:val="008F5A95"/>
    <w:rsid w:val="008F67E8"/>
    <w:rsid w:val="008F7BA0"/>
    <w:rsid w:val="008F7C9E"/>
    <w:rsid w:val="009048C1"/>
    <w:rsid w:val="009063A1"/>
    <w:rsid w:val="00907731"/>
    <w:rsid w:val="00907D20"/>
    <w:rsid w:val="00910C8E"/>
    <w:rsid w:val="0091160C"/>
    <w:rsid w:val="00926A32"/>
    <w:rsid w:val="009311BD"/>
    <w:rsid w:val="00933D6C"/>
    <w:rsid w:val="00934DF1"/>
    <w:rsid w:val="00935727"/>
    <w:rsid w:val="00937824"/>
    <w:rsid w:val="00943C7E"/>
    <w:rsid w:val="00946C06"/>
    <w:rsid w:val="00953D6E"/>
    <w:rsid w:val="00955001"/>
    <w:rsid w:val="00966305"/>
    <w:rsid w:val="00967755"/>
    <w:rsid w:val="009746F4"/>
    <w:rsid w:val="009774CD"/>
    <w:rsid w:val="00982184"/>
    <w:rsid w:val="00983039"/>
    <w:rsid w:val="00983B4F"/>
    <w:rsid w:val="009908BE"/>
    <w:rsid w:val="009925BD"/>
    <w:rsid w:val="009930F9"/>
    <w:rsid w:val="009963A1"/>
    <w:rsid w:val="009A2C5F"/>
    <w:rsid w:val="009A4CDC"/>
    <w:rsid w:val="009A74D1"/>
    <w:rsid w:val="009B4763"/>
    <w:rsid w:val="009B5735"/>
    <w:rsid w:val="009C1591"/>
    <w:rsid w:val="009C2959"/>
    <w:rsid w:val="009C51B4"/>
    <w:rsid w:val="009C5268"/>
    <w:rsid w:val="009D0B66"/>
    <w:rsid w:val="009F03D5"/>
    <w:rsid w:val="009F2C98"/>
    <w:rsid w:val="009F31E4"/>
    <w:rsid w:val="00A0093E"/>
    <w:rsid w:val="00A03391"/>
    <w:rsid w:val="00A06B2B"/>
    <w:rsid w:val="00A06E17"/>
    <w:rsid w:val="00A074D5"/>
    <w:rsid w:val="00A12A30"/>
    <w:rsid w:val="00A14BCA"/>
    <w:rsid w:val="00A25E65"/>
    <w:rsid w:val="00A27F89"/>
    <w:rsid w:val="00A3667E"/>
    <w:rsid w:val="00A415A9"/>
    <w:rsid w:val="00A434C3"/>
    <w:rsid w:val="00A437D0"/>
    <w:rsid w:val="00A4440A"/>
    <w:rsid w:val="00A465A7"/>
    <w:rsid w:val="00A52E8B"/>
    <w:rsid w:val="00A53754"/>
    <w:rsid w:val="00A53C15"/>
    <w:rsid w:val="00A57D98"/>
    <w:rsid w:val="00A60D42"/>
    <w:rsid w:val="00A62CC1"/>
    <w:rsid w:val="00A7102E"/>
    <w:rsid w:val="00A71414"/>
    <w:rsid w:val="00A72314"/>
    <w:rsid w:val="00A72BA6"/>
    <w:rsid w:val="00A74C92"/>
    <w:rsid w:val="00A8017C"/>
    <w:rsid w:val="00A8424C"/>
    <w:rsid w:val="00A86A3A"/>
    <w:rsid w:val="00A9061B"/>
    <w:rsid w:val="00A909B5"/>
    <w:rsid w:val="00A9186E"/>
    <w:rsid w:val="00A9278B"/>
    <w:rsid w:val="00A92EDD"/>
    <w:rsid w:val="00A95068"/>
    <w:rsid w:val="00A9542E"/>
    <w:rsid w:val="00A956C7"/>
    <w:rsid w:val="00A9622E"/>
    <w:rsid w:val="00A96370"/>
    <w:rsid w:val="00AA2B40"/>
    <w:rsid w:val="00AA4255"/>
    <w:rsid w:val="00AA4CB7"/>
    <w:rsid w:val="00AA4DA1"/>
    <w:rsid w:val="00AA6612"/>
    <w:rsid w:val="00AA7B5F"/>
    <w:rsid w:val="00AA7FDB"/>
    <w:rsid w:val="00AB0F7D"/>
    <w:rsid w:val="00AB10EE"/>
    <w:rsid w:val="00AB4C06"/>
    <w:rsid w:val="00AB5D1A"/>
    <w:rsid w:val="00AB64E2"/>
    <w:rsid w:val="00AB68C4"/>
    <w:rsid w:val="00AC35A6"/>
    <w:rsid w:val="00AC4FF4"/>
    <w:rsid w:val="00AC6210"/>
    <w:rsid w:val="00AD03CC"/>
    <w:rsid w:val="00AD1D90"/>
    <w:rsid w:val="00AD2F55"/>
    <w:rsid w:val="00AD494B"/>
    <w:rsid w:val="00AD5DD9"/>
    <w:rsid w:val="00AD65A9"/>
    <w:rsid w:val="00AD7365"/>
    <w:rsid w:val="00AE040A"/>
    <w:rsid w:val="00AE4143"/>
    <w:rsid w:val="00AE7CC4"/>
    <w:rsid w:val="00AF15CD"/>
    <w:rsid w:val="00AF3A6C"/>
    <w:rsid w:val="00AF6185"/>
    <w:rsid w:val="00AF78D1"/>
    <w:rsid w:val="00B0424F"/>
    <w:rsid w:val="00B07831"/>
    <w:rsid w:val="00B07DF3"/>
    <w:rsid w:val="00B12151"/>
    <w:rsid w:val="00B12EB1"/>
    <w:rsid w:val="00B201A4"/>
    <w:rsid w:val="00B22375"/>
    <w:rsid w:val="00B2361E"/>
    <w:rsid w:val="00B23843"/>
    <w:rsid w:val="00B24913"/>
    <w:rsid w:val="00B263CF"/>
    <w:rsid w:val="00B3755A"/>
    <w:rsid w:val="00B37ED7"/>
    <w:rsid w:val="00B43DD2"/>
    <w:rsid w:val="00B47BFD"/>
    <w:rsid w:val="00B5093F"/>
    <w:rsid w:val="00B5276A"/>
    <w:rsid w:val="00B53268"/>
    <w:rsid w:val="00B5571C"/>
    <w:rsid w:val="00B577EA"/>
    <w:rsid w:val="00B63796"/>
    <w:rsid w:val="00B662BB"/>
    <w:rsid w:val="00B70F09"/>
    <w:rsid w:val="00B74C60"/>
    <w:rsid w:val="00B76A78"/>
    <w:rsid w:val="00B802D6"/>
    <w:rsid w:val="00B81B7B"/>
    <w:rsid w:val="00B858FB"/>
    <w:rsid w:val="00B86D0A"/>
    <w:rsid w:val="00B95AB6"/>
    <w:rsid w:val="00BA1709"/>
    <w:rsid w:val="00BA1DD3"/>
    <w:rsid w:val="00BB405D"/>
    <w:rsid w:val="00BB5AD9"/>
    <w:rsid w:val="00BB5BBE"/>
    <w:rsid w:val="00BB5C4D"/>
    <w:rsid w:val="00BB7CA9"/>
    <w:rsid w:val="00BC012A"/>
    <w:rsid w:val="00BC1602"/>
    <w:rsid w:val="00BC373A"/>
    <w:rsid w:val="00BC7FE3"/>
    <w:rsid w:val="00BD065F"/>
    <w:rsid w:val="00BD4061"/>
    <w:rsid w:val="00BD5991"/>
    <w:rsid w:val="00BD5D99"/>
    <w:rsid w:val="00BE09FF"/>
    <w:rsid w:val="00BE24AE"/>
    <w:rsid w:val="00BE7A14"/>
    <w:rsid w:val="00BF172A"/>
    <w:rsid w:val="00BF20D8"/>
    <w:rsid w:val="00C01F70"/>
    <w:rsid w:val="00C051C4"/>
    <w:rsid w:val="00C0615F"/>
    <w:rsid w:val="00C1305E"/>
    <w:rsid w:val="00C24792"/>
    <w:rsid w:val="00C2504A"/>
    <w:rsid w:val="00C306EC"/>
    <w:rsid w:val="00C30F5D"/>
    <w:rsid w:val="00C313D9"/>
    <w:rsid w:val="00C32E4E"/>
    <w:rsid w:val="00C34B86"/>
    <w:rsid w:val="00C37553"/>
    <w:rsid w:val="00C42D13"/>
    <w:rsid w:val="00C43C87"/>
    <w:rsid w:val="00C46E03"/>
    <w:rsid w:val="00C60F66"/>
    <w:rsid w:val="00C62AE0"/>
    <w:rsid w:val="00C646D0"/>
    <w:rsid w:val="00C64DBD"/>
    <w:rsid w:val="00C65A14"/>
    <w:rsid w:val="00C716FE"/>
    <w:rsid w:val="00C73C54"/>
    <w:rsid w:val="00C76BFA"/>
    <w:rsid w:val="00C80243"/>
    <w:rsid w:val="00C8057D"/>
    <w:rsid w:val="00C81B08"/>
    <w:rsid w:val="00C8555A"/>
    <w:rsid w:val="00C869D9"/>
    <w:rsid w:val="00C920C6"/>
    <w:rsid w:val="00C92D13"/>
    <w:rsid w:val="00C93C64"/>
    <w:rsid w:val="00C977DD"/>
    <w:rsid w:val="00CA4325"/>
    <w:rsid w:val="00CA5F3B"/>
    <w:rsid w:val="00CA79D0"/>
    <w:rsid w:val="00CB1066"/>
    <w:rsid w:val="00CB23A9"/>
    <w:rsid w:val="00CB41D0"/>
    <w:rsid w:val="00CB6941"/>
    <w:rsid w:val="00CC60FC"/>
    <w:rsid w:val="00CC7EF4"/>
    <w:rsid w:val="00CD39A3"/>
    <w:rsid w:val="00CE76F4"/>
    <w:rsid w:val="00CF50A1"/>
    <w:rsid w:val="00CF73C1"/>
    <w:rsid w:val="00D01713"/>
    <w:rsid w:val="00D018B8"/>
    <w:rsid w:val="00D04395"/>
    <w:rsid w:val="00D05D92"/>
    <w:rsid w:val="00D06F6D"/>
    <w:rsid w:val="00D07F09"/>
    <w:rsid w:val="00D11B62"/>
    <w:rsid w:val="00D12F25"/>
    <w:rsid w:val="00D13421"/>
    <w:rsid w:val="00D15817"/>
    <w:rsid w:val="00D20CE9"/>
    <w:rsid w:val="00D22788"/>
    <w:rsid w:val="00D255BF"/>
    <w:rsid w:val="00D3041C"/>
    <w:rsid w:val="00D32A55"/>
    <w:rsid w:val="00D34924"/>
    <w:rsid w:val="00D37084"/>
    <w:rsid w:val="00D44F8E"/>
    <w:rsid w:val="00D472CB"/>
    <w:rsid w:val="00D478E5"/>
    <w:rsid w:val="00D50446"/>
    <w:rsid w:val="00D53DBC"/>
    <w:rsid w:val="00D610FE"/>
    <w:rsid w:val="00D6311A"/>
    <w:rsid w:val="00D66572"/>
    <w:rsid w:val="00D66F9E"/>
    <w:rsid w:val="00D67604"/>
    <w:rsid w:val="00D67F4A"/>
    <w:rsid w:val="00D70B98"/>
    <w:rsid w:val="00D714F7"/>
    <w:rsid w:val="00D755E3"/>
    <w:rsid w:val="00D75A05"/>
    <w:rsid w:val="00D77804"/>
    <w:rsid w:val="00D84139"/>
    <w:rsid w:val="00D8416F"/>
    <w:rsid w:val="00D842B2"/>
    <w:rsid w:val="00D84F1B"/>
    <w:rsid w:val="00D90B61"/>
    <w:rsid w:val="00D97EAF"/>
    <w:rsid w:val="00DA0C51"/>
    <w:rsid w:val="00DA16CD"/>
    <w:rsid w:val="00DA2D15"/>
    <w:rsid w:val="00DA396F"/>
    <w:rsid w:val="00DA3AEF"/>
    <w:rsid w:val="00DA5C4F"/>
    <w:rsid w:val="00DB29D1"/>
    <w:rsid w:val="00DB2AD5"/>
    <w:rsid w:val="00DB54D8"/>
    <w:rsid w:val="00DB5FED"/>
    <w:rsid w:val="00DB7337"/>
    <w:rsid w:val="00DB7487"/>
    <w:rsid w:val="00DD41A8"/>
    <w:rsid w:val="00DD66A4"/>
    <w:rsid w:val="00DE237E"/>
    <w:rsid w:val="00DE24CC"/>
    <w:rsid w:val="00DE4EBA"/>
    <w:rsid w:val="00DE4EFA"/>
    <w:rsid w:val="00DE5E84"/>
    <w:rsid w:val="00E03764"/>
    <w:rsid w:val="00E13070"/>
    <w:rsid w:val="00E13F3D"/>
    <w:rsid w:val="00E146CB"/>
    <w:rsid w:val="00E2276C"/>
    <w:rsid w:val="00E23DA8"/>
    <w:rsid w:val="00E25F77"/>
    <w:rsid w:val="00E26D0D"/>
    <w:rsid w:val="00E27F1C"/>
    <w:rsid w:val="00E30D87"/>
    <w:rsid w:val="00E32AB4"/>
    <w:rsid w:val="00E42F78"/>
    <w:rsid w:val="00E4358B"/>
    <w:rsid w:val="00E448B2"/>
    <w:rsid w:val="00E468D1"/>
    <w:rsid w:val="00E47B11"/>
    <w:rsid w:val="00E5111E"/>
    <w:rsid w:val="00E51759"/>
    <w:rsid w:val="00E54568"/>
    <w:rsid w:val="00E5570B"/>
    <w:rsid w:val="00E55B4E"/>
    <w:rsid w:val="00E6021F"/>
    <w:rsid w:val="00E60F15"/>
    <w:rsid w:val="00E61FC8"/>
    <w:rsid w:val="00E64537"/>
    <w:rsid w:val="00E650D2"/>
    <w:rsid w:val="00E65E61"/>
    <w:rsid w:val="00E66CA7"/>
    <w:rsid w:val="00E74DB4"/>
    <w:rsid w:val="00E75D94"/>
    <w:rsid w:val="00E769A5"/>
    <w:rsid w:val="00E76FFB"/>
    <w:rsid w:val="00E8400B"/>
    <w:rsid w:val="00E86F3B"/>
    <w:rsid w:val="00E90B0D"/>
    <w:rsid w:val="00E91AD0"/>
    <w:rsid w:val="00E920E9"/>
    <w:rsid w:val="00E92107"/>
    <w:rsid w:val="00E93CF5"/>
    <w:rsid w:val="00E9576A"/>
    <w:rsid w:val="00E97B24"/>
    <w:rsid w:val="00EA0647"/>
    <w:rsid w:val="00EA270B"/>
    <w:rsid w:val="00EA495A"/>
    <w:rsid w:val="00EA659D"/>
    <w:rsid w:val="00EB018B"/>
    <w:rsid w:val="00EB1CF9"/>
    <w:rsid w:val="00EB771B"/>
    <w:rsid w:val="00EB7B66"/>
    <w:rsid w:val="00EC22EF"/>
    <w:rsid w:val="00ED3F1C"/>
    <w:rsid w:val="00EE168F"/>
    <w:rsid w:val="00EE242A"/>
    <w:rsid w:val="00EE36B7"/>
    <w:rsid w:val="00EE3F48"/>
    <w:rsid w:val="00EE4F86"/>
    <w:rsid w:val="00EE7F75"/>
    <w:rsid w:val="00EF1B2F"/>
    <w:rsid w:val="00EF1EDA"/>
    <w:rsid w:val="00EF4150"/>
    <w:rsid w:val="00EF6ECF"/>
    <w:rsid w:val="00EF79AB"/>
    <w:rsid w:val="00F0788A"/>
    <w:rsid w:val="00F11F67"/>
    <w:rsid w:val="00F12BC0"/>
    <w:rsid w:val="00F170E3"/>
    <w:rsid w:val="00F27440"/>
    <w:rsid w:val="00F300E0"/>
    <w:rsid w:val="00F31895"/>
    <w:rsid w:val="00F3306A"/>
    <w:rsid w:val="00F3427E"/>
    <w:rsid w:val="00F3677E"/>
    <w:rsid w:val="00F3697E"/>
    <w:rsid w:val="00F43449"/>
    <w:rsid w:val="00F438E9"/>
    <w:rsid w:val="00F43D34"/>
    <w:rsid w:val="00F510BB"/>
    <w:rsid w:val="00F551E0"/>
    <w:rsid w:val="00F55293"/>
    <w:rsid w:val="00F62424"/>
    <w:rsid w:val="00F62D12"/>
    <w:rsid w:val="00F64B9A"/>
    <w:rsid w:val="00F70B1E"/>
    <w:rsid w:val="00F71DE5"/>
    <w:rsid w:val="00F72283"/>
    <w:rsid w:val="00F73706"/>
    <w:rsid w:val="00F84F96"/>
    <w:rsid w:val="00F9152A"/>
    <w:rsid w:val="00F916CD"/>
    <w:rsid w:val="00F937A7"/>
    <w:rsid w:val="00F96262"/>
    <w:rsid w:val="00F9657E"/>
    <w:rsid w:val="00F968A4"/>
    <w:rsid w:val="00FA03D0"/>
    <w:rsid w:val="00FA2A13"/>
    <w:rsid w:val="00FA492A"/>
    <w:rsid w:val="00FA6B89"/>
    <w:rsid w:val="00FB3BFF"/>
    <w:rsid w:val="00FB4EFA"/>
    <w:rsid w:val="00FB5C2B"/>
    <w:rsid w:val="00FB6522"/>
    <w:rsid w:val="00FB6C01"/>
    <w:rsid w:val="00FC158D"/>
    <w:rsid w:val="00FC1C00"/>
    <w:rsid w:val="00FC3E6D"/>
    <w:rsid w:val="00FC541F"/>
    <w:rsid w:val="00FC693A"/>
    <w:rsid w:val="00FD181B"/>
    <w:rsid w:val="00FD2355"/>
    <w:rsid w:val="00FD41EA"/>
    <w:rsid w:val="00FD4350"/>
    <w:rsid w:val="00FD553F"/>
    <w:rsid w:val="00FE37B7"/>
    <w:rsid w:val="00FE37D6"/>
    <w:rsid w:val="00FE4966"/>
    <w:rsid w:val="00FE6DBE"/>
    <w:rsid w:val="00FF2AD8"/>
    <w:rsid w:val="00FF342B"/>
    <w:rsid w:val="00FF76AB"/>
    <w:rsid w:val="018A27B0"/>
    <w:rsid w:val="01CC0F2C"/>
    <w:rsid w:val="01DF123C"/>
    <w:rsid w:val="04B045BD"/>
    <w:rsid w:val="06F84D14"/>
    <w:rsid w:val="07033446"/>
    <w:rsid w:val="07454401"/>
    <w:rsid w:val="07612258"/>
    <w:rsid w:val="086B4535"/>
    <w:rsid w:val="08A8678B"/>
    <w:rsid w:val="08F118B4"/>
    <w:rsid w:val="0A3E308B"/>
    <w:rsid w:val="0C5649F0"/>
    <w:rsid w:val="0CA90F3D"/>
    <w:rsid w:val="0CBE5A6E"/>
    <w:rsid w:val="0CDC6DB9"/>
    <w:rsid w:val="0D636F30"/>
    <w:rsid w:val="0E822D70"/>
    <w:rsid w:val="102961A0"/>
    <w:rsid w:val="10AF4D9F"/>
    <w:rsid w:val="13C00743"/>
    <w:rsid w:val="13FC3D9A"/>
    <w:rsid w:val="17911492"/>
    <w:rsid w:val="18ED17BD"/>
    <w:rsid w:val="18FA5B52"/>
    <w:rsid w:val="1B371006"/>
    <w:rsid w:val="1BCB30BC"/>
    <w:rsid w:val="1F5F158A"/>
    <w:rsid w:val="1FB14E0A"/>
    <w:rsid w:val="21E93991"/>
    <w:rsid w:val="25C30DFB"/>
    <w:rsid w:val="25F01073"/>
    <w:rsid w:val="27C54F75"/>
    <w:rsid w:val="281875AE"/>
    <w:rsid w:val="282F7D44"/>
    <w:rsid w:val="29E6002E"/>
    <w:rsid w:val="2D3F28A7"/>
    <w:rsid w:val="2D851BEF"/>
    <w:rsid w:val="2ED50192"/>
    <w:rsid w:val="2F5E365C"/>
    <w:rsid w:val="2F7B22AB"/>
    <w:rsid w:val="30E96BFA"/>
    <w:rsid w:val="33124775"/>
    <w:rsid w:val="345C2899"/>
    <w:rsid w:val="35A11F7C"/>
    <w:rsid w:val="35D267AB"/>
    <w:rsid w:val="35E72C88"/>
    <w:rsid w:val="36AB149B"/>
    <w:rsid w:val="3B283FEC"/>
    <w:rsid w:val="3CC04767"/>
    <w:rsid w:val="3D517192"/>
    <w:rsid w:val="3EC23895"/>
    <w:rsid w:val="3F4063E0"/>
    <w:rsid w:val="403F3D42"/>
    <w:rsid w:val="407E705F"/>
    <w:rsid w:val="42D82CA0"/>
    <w:rsid w:val="43EF20A2"/>
    <w:rsid w:val="465E7508"/>
    <w:rsid w:val="475231A2"/>
    <w:rsid w:val="4A0923DF"/>
    <w:rsid w:val="4C917A71"/>
    <w:rsid w:val="4DF10B5E"/>
    <w:rsid w:val="4EBB0665"/>
    <w:rsid w:val="50684489"/>
    <w:rsid w:val="52D64064"/>
    <w:rsid w:val="56556614"/>
    <w:rsid w:val="571E48D9"/>
    <w:rsid w:val="57D1072E"/>
    <w:rsid w:val="5869004C"/>
    <w:rsid w:val="58F50C7D"/>
    <w:rsid w:val="5B742FD1"/>
    <w:rsid w:val="63FE2BE3"/>
    <w:rsid w:val="64677F33"/>
    <w:rsid w:val="64DD4629"/>
    <w:rsid w:val="65AB671E"/>
    <w:rsid w:val="66230F05"/>
    <w:rsid w:val="670818F0"/>
    <w:rsid w:val="671069C7"/>
    <w:rsid w:val="6850354E"/>
    <w:rsid w:val="68EB4025"/>
    <w:rsid w:val="69A62D34"/>
    <w:rsid w:val="6F7F3A76"/>
    <w:rsid w:val="6FC22F83"/>
    <w:rsid w:val="6FE21DBD"/>
    <w:rsid w:val="719877F2"/>
    <w:rsid w:val="72471809"/>
    <w:rsid w:val="72DE0ADB"/>
    <w:rsid w:val="731E3F86"/>
    <w:rsid w:val="7330657A"/>
    <w:rsid w:val="740E0D06"/>
    <w:rsid w:val="75832365"/>
    <w:rsid w:val="76D10F6D"/>
    <w:rsid w:val="78F125A5"/>
    <w:rsid w:val="7D88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2"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ascii="华光小标宋_CNKI" w:hAnsi="华光小标宋_CNKI" w:eastAsia="华光小标宋_CNKI"/>
      <w:bCs/>
      <w:kern w:val="44"/>
      <w:sz w:val="44"/>
      <w:szCs w:val="44"/>
    </w:rPr>
  </w:style>
  <w:style w:type="paragraph" w:styleId="3">
    <w:name w:val="heading 2"/>
    <w:basedOn w:val="1"/>
    <w:next w:val="4"/>
    <w:qFormat/>
    <w:uiPriority w:val="0"/>
    <w:pPr>
      <w:keepNext/>
      <w:keepLines/>
      <w:adjustRightInd w:val="0"/>
      <w:spacing w:before="240" w:after="240"/>
      <w:ind w:firstLine="0" w:firstLineChars="0"/>
      <w:jc w:val="left"/>
      <w:textAlignment w:val="baseline"/>
      <w:outlineLvl w:val="1"/>
    </w:pPr>
    <w:rPr>
      <w:rFonts w:ascii="黑体" w:hAnsi="黑体" w:eastAsia="黑体"/>
      <w:kern w:val="0"/>
      <w:szCs w:val="20"/>
    </w:rPr>
  </w:style>
  <w:style w:type="paragraph" w:styleId="5">
    <w:name w:val="heading 3"/>
    <w:basedOn w:val="1"/>
    <w:next w:val="1"/>
    <w:qFormat/>
    <w:uiPriority w:val="0"/>
    <w:pPr>
      <w:keepNext/>
      <w:keepLines/>
      <w:ind w:firstLine="0" w:firstLineChars="0"/>
      <w:outlineLvl w:val="2"/>
    </w:pPr>
    <w:rPr>
      <w:rFonts w:ascii="楷体" w:hAnsi="楷体" w:eastAsia="楷体"/>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annotation text"/>
    <w:basedOn w:val="1"/>
    <w:link w:val="39"/>
    <w:semiHidden/>
    <w:qFormat/>
    <w:uiPriority w:val="0"/>
    <w:pPr>
      <w:jc w:val="left"/>
    </w:pPr>
  </w:style>
  <w:style w:type="paragraph" w:styleId="8">
    <w:name w:val="Body Text"/>
    <w:basedOn w:val="1"/>
    <w:qFormat/>
    <w:uiPriority w:val="0"/>
    <w:pPr>
      <w:spacing w:line="320" w:lineRule="exact"/>
    </w:pPr>
    <w:rPr>
      <w:rFonts w:ascii="宋体" w:hAnsi="宋体"/>
      <w:sz w:val="24"/>
    </w:rPr>
  </w:style>
  <w:style w:type="paragraph" w:styleId="9">
    <w:name w:val="toc 3"/>
    <w:basedOn w:val="1"/>
    <w:next w:val="1"/>
    <w:qFormat/>
    <w:uiPriority w:val="39"/>
    <w:pPr>
      <w:tabs>
        <w:tab w:val="right" w:leader="dot" w:pos="9402"/>
      </w:tabs>
      <w:spacing w:line="500" w:lineRule="exact"/>
      <w:ind w:left="840" w:leftChars="172" w:hanging="479" w:hangingChars="228"/>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ind w:left="100" w:leftChars="2500"/>
    </w:pPr>
  </w:style>
  <w:style w:type="paragraph" w:styleId="12">
    <w:name w:val="Body Text Indent 2"/>
    <w:basedOn w:val="1"/>
    <w:link w:val="4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4"/>
    <w:basedOn w:val="1"/>
    <w:next w:val="1"/>
    <w:semiHidden/>
    <w:qFormat/>
    <w:uiPriority w:val="0"/>
    <w:pPr>
      <w:ind w:left="1260" w:leftChars="600"/>
    </w:pPr>
  </w:style>
  <w:style w:type="paragraph" w:styleId="18">
    <w:name w:val="toc 2"/>
    <w:basedOn w:val="1"/>
    <w:next w:val="1"/>
    <w:semiHidden/>
    <w:qFormat/>
    <w:uiPriority w:val="0"/>
    <w:pPr>
      <w:numPr>
        <w:ilvl w:val="0"/>
        <w:numId w:val="1"/>
      </w:numPr>
      <w:spacing w:line="500" w:lineRule="exact"/>
      <w:ind w:left="357" w:hanging="357"/>
    </w:pPr>
    <w:rPr>
      <w:rFonts w:ascii="宋体" w:hAnsi="宋体"/>
      <w:b/>
      <w:sz w:val="24"/>
    </w:rPr>
  </w:style>
  <w:style w:type="paragraph" w:styleId="19">
    <w:name w:val="annotation subject"/>
    <w:basedOn w:val="7"/>
    <w:next w:val="7"/>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Paper Author"/>
    <w:basedOn w:val="1"/>
    <w:qFormat/>
    <w:uiPriority w:val="0"/>
    <w:pPr>
      <w:widowControl/>
      <w:spacing w:before="360" w:after="360"/>
      <w:jc w:val="center"/>
    </w:pPr>
    <w:rPr>
      <w:kern w:val="0"/>
      <w:sz w:val="28"/>
      <w:szCs w:val="20"/>
      <w:lang w:eastAsia="en-US"/>
    </w:rPr>
  </w:style>
  <w:style w:type="paragraph" w:customStyle="1" w:styleId="28">
    <w:name w:val="章标题"/>
    <w:next w:val="1"/>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9">
    <w:name w:val="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0">
    <w:name w:val="四级条标题"/>
    <w:basedOn w:val="31"/>
    <w:next w:val="1"/>
    <w:qFormat/>
    <w:uiPriority w:val="0"/>
    <w:pPr>
      <w:outlineLvl w:val="5"/>
    </w:pPr>
  </w:style>
  <w:style w:type="paragraph" w:customStyle="1" w:styleId="31">
    <w:name w:val="三级条标题"/>
    <w:basedOn w:val="32"/>
    <w:next w:val="1"/>
    <w:qFormat/>
    <w:uiPriority w:val="0"/>
    <w:pPr>
      <w:outlineLvl w:val="4"/>
    </w:pPr>
  </w:style>
  <w:style w:type="paragraph" w:customStyle="1" w:styleId="32">
    <w:name w:val="二级条标题"/>
    <w:basedOn w:val="33"/>
    <w:next w:val="1"/>
    <w:qFormat/>
    <w:uiPriority w:val="0"/>
    <w:pPr>
      <w:outlineLvl w:val="3"/>
    </w:pPr>
  </w:style>
  <w:style w:type="paragraph" w:customStyle="1" w:styleId="33">
    <w:name w:val="一级条标题"/>
    <w:basedOn w:val="28"/>
    <w:next w:val="1"/>
    <w:qFormat/>
    <w:uiPriority w:val="0"/>
    <w:pPr>
      <w:spacing w:before="0" w:beforeLines="0" w:after="0" w:afterLines="0"/>
      <w:outlineLvl w:val="2"/>
    </w:pPr>
  </w:style>
  <w:style w:type="paragraph" w:customStyle="1" w:styleId="3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5">
    <w:name w:val="Paper Title"/>
    <w:basedOn w:val="1"/>
    <w:qFormat/>
    <w:uiPriority w:val="0"/>
    <w:pPr>
      <w:widowControl/>
      <w:spacing w:before="960"/>
      <w:jc w:val="center"/>
    </w:pPr>
    <w:rPr>
      <w:b/>
      <w:kern w:val="0"/>
      <w:sz w:val="36"/>
      <w:szCs w:val="20"/>
      <w:lang w:eastAsia="en-US"/>
    </w:rPr>
  </w:style>
  <w:style w:type="paragraph" w:customStyle="1" w:styleId="36">
    <w:name w:val="五级条标题"/>
    <w:basedOn w:val="30"/>
    <w:next w:val="1"/>
    <w:qFormat/>
    <w:uiPriority w:val="0"/>
    <w:pPr>
      <w:outlineLvl w:val="6"/>
    </w:p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批注文字 字符"/>
    <w:link w:val="7"/>
    <w:semiHidden/>
    <w:qFormat/>
    <w:uiPriority w:val="0"/>
    <w:rPr>
      <w:rFonts w:eastAsia="宋体"/>
      <w:kern w:val="2"/>
      <w:sz w:val="21"/>
      <w:szCs w:val="24"/>
      <w:lang w:val="en-US" w:eastAsia="zh-CN" w:bidi="ar-SA"/>
    </w:rPr>
  </w:style>
  <w:style w:type="character" w:customStyle="1" w:styleId="40">
    <w:name w:val="页眉 字符"/>
    <w:link w:val="15"/>
    <w:qFormat/>
    <w:uiPriority w:val="0"/>
    <w:rPr>
      <w:kern w:val="2"/>
      <w:sz w:val="18"/>
      <w:szCs w:val="18"/>
    </w:rPr>
  </w:style>
  <w:style w:type="character" w:customStyle="1" w:styleId="41">
    <w:name w:val="正文文本缩进 2 字符"/>
    <w:basedOn w:val="22"/>
    <w:link w:val="12"/>
    <w:qFormat/>
    <w:uiPriority w:val="0"/>
    <w:rPr>
      <w:rFonts w:ascii="仿宋_GB2312" w:hAnsi="仿宋_GB2312" w:eastAsia="仿宋_GB2312"/>
      <w:kern w:val="2"/>
      <w:sz w:val="32"/>
      <w:szCs w:val="24"/>
    </w:rPr>
  </w:style>
  <w:style w:type="paragraph" w:styleId="42">
    <w:name w:val="List Paragraph"/>
    <w:basedOn w:val="1"/>
    <w:qFormat/>
    <w:uiPriority w:val="99"/>
    <w:pPr>
      <w:ind w:firstLine="420"/>
    </w:pPr>
  </w:style>
  <w:style w:type="character" w:customStyle="1" w:styleId="43">
    <w:name w:val="段 Char"/>
    <w:link w:val="44"/>
    <w:qFormat/>
    <w:uiPriority w:val="99"/>
    <w:rPr>
      <w:rFonts w:ascii="宋体"/>
      <w:sz w:val="21"/>
    </w:rPr>
  </w:style>
  <w:style w:type="paragraph" w:customStyle="1" w:styleId="44">
    <w:name w:val="段"/>
    <w:link w:val="43"/>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jczx</Company>
  <Pages>8</Pages>
  <Words>1197</Words>
  <Characters>1257</Characters>
  <Lines>22</Lines>
  <Paragraphs>6</Paragraphs>
  <TotalTime>13</TotalTime>
  <ScaleCrop>false</ScaleCrop>
  <LinksUpToDate>false</LinksUpToDate>
  <CharactersWithSpaces>1283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2019-09-29T08:17:00Z</dcterms:created>
  <dc:creator>clx</dc:creator>
  <cp:lastModifiedBy>瑞雪年丰</cp:lastModifiedBy>
  <cp:lastPrinted>2024-07-25T06:27:00Z</cp:lastPrinted>
  <dcterms:modified xsi:type="dcterms:W3CDTF">2025-10-20T14:59:59Z</dcterms:modified>
  <dc:title>　　　　　　　　　国内外电阻材料产品标准水平对比分析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A375A32664CC4AE5AFCB04011F518D6A</vt:lpwstr>
  </property>
  <property fmtid="{D5CDD505-2E9C-101B-9397-08002B2CF9AE}" pid="4" name="KSOTemplateDocerSaveRecord">
    <vt:lpwstr>eyJoZGlkIjoiODViYmU0YTI3MzVmNmI0YzVjOWMxZWQyMjk2YmIzMGUiLCJ1c2VySWQiOiIxMDM4NzczNDk5In0=</vt:lpwstr>
  </property>
</Properties>
</file>