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仿宋_GB2312" w:hAnsi="仿宋_GB2312" w:eastAsia="仿宋_GB2312" w:cs="仿宋_GB2312"/>
          <w:w w:val="95"/>
          <w:sz w:val="32"/>
          <w:szCs w:val="32"/>
          <w:lang w:val="en-US" w:eastAsia="zh-CN"/>
        </w:rPr>
      </w:pPr>
      <w:bookmarkStart w:id="9" w:name="_GoBack"/>
      <w:bookmarkEnd w:id="9"/>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w w:val="93"/>
          <w:sz w:val="32"/>
          <w:szCs w:val="32"/>
        </w:rPr>
      </w:pPr>
      <w:r>
        <w:rPr>
          <w:rFonts w:hint="eastAsia" w:ascii="方正小标宋简体" w:hAnsi="方正小标宋简体" w:eastAsia="方正小标宋简体" w:cs="方正小标宋简体"/>
          <w:w w:val="93"/>
          <w:sz w:val="44"/>
          <w:szCs w:val="44"/>
        </w:rPr>
        <w:t>河南省民用水表燃气表“二检合一”改革试点方案</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（试行）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为深入贯彻落实党中央、国务院关于深化“放管服”改革、优化营商环境的决策部署，创新计量监管模式，提升计量服务民生能力，</w:t>
      </w:r>
      <w:r>
        <w:rPr>
          <w:rFonts w:hint="eastAsia" w:ascii="仿宋_GB2312" w:hAnsi="仿宋_GB2312" w:eastAsia="仿宋_GB2312" w:cs="仿宋_GB2312"/>
          <w:sz w:val="32"/>
          <w:szCs w:val="32"/>
          <w:lang w:eastAsia="zh-CN"/>
        </w:rPr>
        <w:t>结合我省实际，</w:t>
      </w:r>
      <w:r>
        <w:rPr>
          <w:rFonts w:hint="eastAsia" w:ascii="仿宋_GB2312" w:hAnsi="仿宋_GB2312" w:eastAsia="仿宋_GB2312" w:cs="仿宋_GB2312"/>
          <w:sz w:val="32"/>
          <w:szCs w:val="32"/>
        </w:rPr>
        <w:t>省局决定开展民用水表、燃气表出厂检定与</w:t>
      </w:r>
      <w:r>
        <w:rPr>
          <w:rFonts w:hint="eastAsia" w:ascii="仿宋_GB2312" w:hAnsi="仿宋_GB2312" w:eastAsia="仿宋_GB2312" w:cs="仿宋_GB2312"/>
          <w:color w:val="000000"/>
          <w:sz w:val="32"/>
          <w:szCs w:val="32"/>
          <w:highlight w:val="none"/>
        </w:rPr>
        <w:t>首次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强制</w:t>
      </w:r>
      <w:r>
        <w:rPr>
          <w:rFonts w:hint="eastAsia" w:ascii="仿宋_GB2312" w:hAnsi="仿宋_GB2312" w:eastAsia="仿宋_GB2312" w:cs="仿宋_GB2312"/>
          <w:color w:val="000000" w:themeColor="text1"/>
          <w:sz w:val="32"/>
          <w:szCs w:val="32"/>
          <w:highlight w:val="none"/>
          <w14:textFill>
            <w14:solidFill>
              <w14:schemeClr w14:val="tx1"/>
            </w14:solidFill>
          </w14:textFill>
        </w:rPr>
        <w:t>检定合并实施改革试点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（以下简称“二检合一”）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color w:val="000000" w:themeColor="text1"/>
          <w:sz w:val="32"/>
          <w:szCs w:val="32"/>
          <w:highlight w:val="none"/>
          <w:shd w:val="clear" w:color="auto" w:fill="auto"/>
          <w:lang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auto"/>
          <w:lang w:eastAsia="zh-CN"/>
          <w14:textFill>
            <w14:solidFill>
              <w14:schemeClr w14:val="tx1"/>
            </w14:solidFill>
          </w14:textFill>
        </w:rPr>
        <w:t>重要意义</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水表、燃气表（以下简称“民用两表”）属于强制检定计量器具，关系贸易结算公平与消费者切身利益。现行“出厂检定”与“首次强制检定”分离的模式，存在检定环节重复、企业负担重、产品交付周期长、监管效能有待提升等问题。开展“二检合一”改革试点，是深化“放管服”改革、优化营商环境、激发市场主体活力的重要举措，对于压实生产企业主体责任、优化监管资源配置、提升民生计量治理能力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lang w:eastAsia="zh-CN"/>
        </w:rPr>
      </w:pPr>
      <w:r>
        <w:rPr>
          <w:rFonts w:hint="eastAsia" w:ascii="黑体" w:hAnsi="黑体" w:eastAsia="黑体" w:cs="黑体"/>
          <w:color w:val="000000" w:themeColor="text1"/>
          <w:sz w:val="32"/>
          <w:szCs w:val="32"/>
          <w:highlight w:val="none"/>
          <w:shd w:val="clear" w:color="auto" w:fill="auto"/>
          <w:lang w:eastAsia="zh-CN"/>
          <w14:textFill>
            <w14:solidFill>
              <w14:schemeClr w14:val="tx1"/>
            </w14:solidFill>
          </w14:textFill>
        </w:rPr>
        <w:t>二、总体要求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2312" w:hAnsi="方正楷体_GB2312" w:eastAsia="方正楷体_GB2312" w:cs="方正楷体_GB2312"/>
          <w:sz w:val="32"/>
          <w:szCs w:val="32"/>
          <w:highlight w:val="none"/>
          <w:shd w:val="clear" w:color="auto" w:fill="auto"/>
          <w:lang w:eastAsia="zh-CN"/>
        </w:rPr>
      </w:pPr>
      <w:r>
        <w:rPr>
          <w:rFonts w:hint="eastAsia" w:ascii="方正楷体_GB2312" w:hAnsi="方正楷体_GB2312" w:eastAsia="方正楷体_GB2312" w:cs="方正楷体_GB2312"/>
          <w:sz w:val="32"/>
          <w:szCs w:val="32"/>
          <w:highlight w:val="none"/>
          <w:shd w:val="clear" w:color="auto" w:fill="auto"/>
          <w:lang w:eastAsia="zh-CN"/>
        </w:rPr>
        <w:t>（一）基本原则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试点坚持改革创新与风险可控相统一、企业主责与诚信引导相促进、优化服务与强化监管相结合、政府推动与社会共治相协同，并积极对接国家</w:t>
      </w:r>
      <w:r>
        <w:rPr>
          <w:rFonts w:hint="eastAsia" w:ascii="仿宋_GB2312" w:hAnsi="仿宋_GB2312" w:eastAsia="仿宋_GB2312" w:cs="仿宋_GB2312"/>
          <w:sz w:val="32"/>
          <w:szCs w:val="32"/>
          <w:lang w:eastAsia="zh-CN"/>
        </w:rPr>
        <w:t>市场监管总局</w:t>
      </w:r>
      <w:r>
        <w:rPr>
          <w:rFonts w:hint="eastAsia" w:ascii="仿宋_GB2312" w:hAnsi="仿宋_GB2312" w:eastAsia="仿宋_GB2312" w:cs="仿宋_GB2312"/>
          <w:sz w:val="32"/>
          <w:szCs w:val="32"/>
        </w:rPr>
        <w:t>关于支持计量产业园建设的政策导向</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both"/>
        <w:textAlignment w:val="auto"/>
        <w:rPr>
          <w:rFonts w:hint="eastAsia" w:ascii="方正楷体_GB2312" w:hAnsi="方正楷体_GB2312" w:eastAsia="方正楷体_GB2312" w:cs="方正楷体_GB2312"/>
          <w:color w:val="auto"/>
          <w:sz w:val="32"/>
          <w:szCs w:val="32"/>
          <w:highlight w:val="none"/>
          <w:lang w:eastAsia="zh-CN"/>
        </w:rPr>
      </w:pPr>
      <w:r>
        <w:rPr>
          <w:rFonts w:hint="eastAsia" w:ascii="方正楷体_GB2312" w:hAnsi="方正楷体_GB2312" w:eastAsia="方正楷体_GB2312" w:cs="方正楷体_GB2312"/>
          <w:color w:val="auto"/>
          <w:sz w:val="32"/>
          <w:szCs w:val="32"/>
          <w:highlight w:val="none"/>
          <w:lang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通过试点，</w:t>
      </w:r>
      <w:r>
        <w:rPr>
          <w:rFonts w:hint="eastAsia" w:ascii="仿宋_GB2312" w:hAnsi="仿宋_GB2312" w:eastAsia="仿宋_GB2312" w:cs="仿宋_GB2312"/>
          <w:color w:val="auto"/>
          <w:sz w:val="32"/>
          <w:szCs w:val="32"/>
          <w:highlight w:val="none"/>
        </w:rPr>
        <w:t>建</w:t>
      </w:r>
      <w:r>
        <w:rPr>
          <w:rFonts w:hint="eastAsia" w:ascii="仿宋_GB2312" w:hAnsi="仿宋_GB2312" w:eastAsia="仿宋_GB2312" w:cs="仿宋_GB2312"/>
          <w:sz w:val="32"/>
          <w:szCs w:val="32"/>
          <w:highlight w:val="none"/>
        </w:rPr>
        <w:t>立制度完备、责任清晰、监管有力、风险可控的</w:t>
      </w:r>
      <w:r>
        <w:rPr>
          <w:rFonts w:hint="eastAsia" w:ascii="仿宋_GB2312" w:hAnsi="仿宋_GB2312" w:eastAsia="仿宋_GB2312" w:cs="仿宋_GB2312"/>
          <w:sz w:val="32"/>
          <w:szCs w:val="32"/>
          <w:highlight w:val="none"/>
          <w:lang w:eastAsia="zh-CN"/>
        </w:rPr>
        <w:t>“二检合一”运行</w:t>
      </w:r>
      <w:r>
        <w:rPr>
          <w:rFonts w:hint="eastAsia" w:ascii="仿宋_GB2312" w:hAnsi="仿宋_GB2312" w:eastAsia="仿宋_GB2312" w:cs="仿宋_GB2312"/>
          <w:sz w:val="32"/>
          <w:szCs w:val="32"/>
          <w:highlight w:val="none"/>
        </w:rPr>
        <w:t>管理机制</w:t>
      </w:r>
      <w:r>
        <w:rPr>
          <w:rFonts w:hint="eastAsia" w:ascii="仿宋_GB2312" w:hAnsi="仿宋_GB2312" w:eastAsia="仿宋_GB2312" w:cs="仿宋_GB2312"/>
          <w:sz w:val="32"/>
          <w:szCs w:val="32"/>
          <w:highlight w:val="none"/>
          <w:lang w:eastAsia="zh-CN"/>
        </w:rPr>
        <w:t>，力争</w:t>
      </w:r>
      <w:r>
        <w:rPr>
          <w:rFonts w:hint="eastAsia" w:ascii="仿宋_GB2312" w:hAnsi="仿宋_GB2312" w:eastAsia="仿宋_GB2312" w:cs="仿宋_GB2312"/>
          <w:sz w:val="32"/>
          <w:szCs w:val="32"/>
          <w:highlight w:val="none"/>
        </w:rPr>
        <w:t>实现生产企业交货周期明显缩短、社会成本有效降低、行业质量水平持续提升、市场主体和人民群众满意度显著提高。</w:t>
      </w:r>
      <w:r>
        <w:rPr>
          <w:rFonts w:hint="eastAsia" w:ascii="仿宋_GB2312" w:hAnsi="仿宋_GB2312" w:eastAsia="仿宋_GB2312" w:cs="仿宋_GB2312"/>
          <w:sz w:val="32"/>
          <w:szCs w:val="32"/>
          <w:highlight w:val="none"/>
          <w:lang w:eastAsia="zh-CN"/>
        </w:rPr>
        <w:t>同时，将本试点作为构建“自我承诺、政府推动、社会监督”三位一体诚信计量运行机制在民生计量器具生产源头环节的创新实践，为我省诚信计量体系建设向计量器具生产领域延伸拓展探索路径、积累经验。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w:t>
      </w:r>
      <w:r>
        <w:rPr>
          <w:rFonts w:hint="eastAsia" w:ascii="黑体" w:hAnsi="黑体" w:eastAsia="黑体" w:cs="黑体"/>
          <w:sz w:val="32"/>
          <w:szCs w:val="32"/>
        </w:rPr>
        <w:t>试点范围与期限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（一）产品范围</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本省行政区域内制造、并取得《计量器具型式批准证书》的民用水表和燃气表。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（二）企业范围</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符合本方案规定授权条件的民用两表生产企业，均可自愿申请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华文仿宋" w:hAnsi="华文仿宋" w:eastAsia="华文仿宋" w:cs="华文仿宋"/>
          <w:b w:val="0"/>
          <w:bCs w:val="0"/>
          <w:color w:val="auto"/>
          <w:sz w:val="32"/>
          <w:szCs w:val="32"/>
          <w:lang w:eastAsia="zh-CN"/>
        </w:rPr>
      </w:pPr>
      <w:r>
        <w:rPr>
          <w:rFonts w:hint="eastAsia" w:ascii="楷体_GB2312" w:hAnsi="楷体_GB2312" w:eastAsia="楷体_GB2312" w:cs="楷体_GB2312"/>
          <w:color w:val="auto"/>
          <w:sz w:val="32"/>
          <w:szCs w:val="32"/>
        </w:rPr>
        <w:t>（三）试点</w:t>
      </w:r>
      <w:r>
        <w:rPr>
          <w:rFonts w:hint="eastAsia" w:ascii="楷体_GB2312" w:hAnsi="楷体_GB2312" w:eastAsia="楷体_GB2312" w:cs="楷体_GB2312"/>
          <w:color w:val="auto"/>
          <w:sz w:val="32"/>
          <w:szCs w:val="32"/>
          <w:highlight w:val="none"/>
        </w:rPr>
        <w:t>期限</w:t>
      </w:r>
      <w:r>
        <w:rPr>
          <w:rFonts w:hint="eastAsia" w:ascii="楷体_GB2312" w:hAnsi="楷体_GB2312" w:eastAsia="楷体_GB2312" w:cs="楷体_GB2312"/>
          <w:color w:val="auto"/>
          <w:sz w:val="32"/>
          <w:szCs w:val="32"/>
          <w:lang w:eastAsia="zh-CN"/>
        </w:rPr>
        <w:t>。</w:t>
      </w:r>
      <w:r>
        <w:rPr>
          <w:rFonts w:hint="eastAsia" w:ascii="华文仿宋" w:hAnsi="华文仿宋" w:eastAsia="华文仿宋" w:cs="华文仿宋"/>
          <w:b w:val="0"/>
          <w:bCs w:val="0"/>
          <w:color w:val="auto"/>
          <w:sz w:val="32"/>
          <w:szCs w:val="32"/>
        </w:rPr>
        <w:t>自</w:t>
      </w:r>
      <w:r>
        <w:rPr>
          <w:rFonts w:hint="default" w:ascii="华文仿宋" w:hAnsi="华文仿宋" w:eastAsia="华文仿宋" w:cs="华文仿宋"/>
          <w:b w:val="0"/>
          <w:bCs w:val="0"/>
          <w:color w:val="auto"/>
          <w:sz w:val="32"/>
          <w:szCs w:val="32"/>
        </w:rPr>
        <w:t>202</w:t>
      </w:r>
      <w:r>
        <w:rPr>
          <w:rFonts w:hint="eastAsia" w:ascii="华文仿宋" w:hAnsi="华文仿宋" w:eastAsia="华文仿宋" w:cs="华文仿宋"/>
          <w:b w:val="0"/>
          <w:bCs w:val="0"/>
          <w:color w:val="auto"/>
          <w:sz w:val="32"/>
          <w:szCs w:val="32"/>
          <w:lang w:val="en-US" w:eastAsia="zh-CN"/>
        </w:rPr>
        <w:t>6</w:t>
      </w:r>
      <w:r>
        <w:rPr>
          <w:rFonts w:hint="eastAsia" w:ascii="华文仿宋" w:hAnsi="华文仿宋" w:eastAsia="华文仿宋" w:cs="华文仿宋"/>
          <w:b w:val="0"/>
          <w:bCs w:val="0"/>
          <w:color w:val="auto"/>
          <w:sz w:val="32"/>
          <w:szCs w:val="32"/>
        </w:rPr>
        <w:t>年</w:t>
      </w:r>
      <w:r>
        <w:rPr>
          <w:rFonts w:hint="default" w:ascii="华文仿宋" w:hAnsi="华文仿宋" w:eastAsia="华文仿宋" w:cs="华文仿宋"/>
          <w:b w:val="0"/>
          <w:bCs w:val="0"/>
          <w:color w:val="auto"/>
          <w:sz w:val="32"/>
          <w:szCs w:val="32"/>
          <w:lang w:val="en" w:eastAsia="zh-CN"/>
        </w:rPr>
        <w:t>2</w:t>
      </w:r>
      <w:r>
        <w:rPr>
          <w:rFonts w:hint="eastAsia" w:ascii="华文仿宋" w:hAnsi="华文仿宋" w:eastAsia="华文仿宋" w:cs="华文仿宋"/>
          <w:b w:val="0"/>
          <w:bCs w:val="0"/>
          <w:color w:val="auto"/>
          <w:sz w:val="32"/>
          <w:szCs w:val="32"/>
        </w:rPr>
        <w:t>月</w:t>
      </w:r>
      <w:r>
        <w:rPr>
          <w:rFonts w:hint="default" w:ascii="华文仿宋" w:hAnsi="华文仿宋" w:eastAsia="华文仿宋" w:cs="华文仿宋"/>
          <w:b w:val="0"/>
          <w:bCs w:val="0"/>
          <w:color w:val="auto"/>
          <w:sz w:val="32"/>
          <w:szCs w:val="32"/>
          <w:lang w:val="en" w:eastAsia="zh-CN"/>
        </w:rPr>
        <w:t>1</w:t>
      </w:r>
      <w:r>
        <w:rPr>
          <w:rFonts w:hint="eastAsia" w:ascii="华文仿宋" w:hAnsi="华文仿宋" w:eastAsia="华文仿宋" w:cs="华文仿宋"/>
          <w:b w:val="0"/>
          <w:bCs w:val="0"/>
          <w:color w:val="auto"/>
          <w:sz w:val="32"/>
          <w:szCs w:val="32"/>
        </w:rPr>
        <w:t>日起至</w:t>
      </w:r>
      <w:r>
        <w:rPr>
          <w:rFonts w:hint="default" w:ascii="华文仿宋" w:hAnsi="华文仿宋" w:eastAsia="华文仿宋" w:cs="华文仿宋"/>
          <w:b w:val="0"/>
          <w:bCs w:val="0"/>
          <w:color w:val="auto"/>
          <w:sz w:val="32"/>
          <w:szCs w:val="32"/>
        </w:rPr>
        <w:t>202</w:t>
      </w:r>
      <w:r>
        <w:rPr>
          <w:rFonts w:hint="default" w:ascii="华文仿宋" w:hAnsi="华文仿宋" w:eastAsia="华文仿宋" w:cs="华文仿宋"/>
          <w:b w:val="0"/>
          <w:bCs w:val="0"/>
          <w:color w:val="auto"/>
          <w:sz w:val="32"/>
          <w:szCs w:val="32"/>
          <w:lang w:val="en"/>
        </w:rPr>
        <w:t>8</w:t>
      </w:r>
      <w:r>
        <w:rPr>
          <w:rFonts w:hint="eastAsia" w:ascii="华文仿宋" w:hAnsi="华文仿宋" w:eastAsia="华文仿宋" w:cs="华文仿宋"/>
          <w:b w:val="0"/>
          <w:bCs w:val="0"/>
          <w:color w:val="auto"/>
          <w:sz w:val="32"/>
          <w:szCs w:val="32"/>
        </w:rPr>
        <w:t>年</w:t>
      </w:r>
      <w:r>
        <w:rPr>
          <w:rFonts w:hint="default" w:ascii="华文仿宋" w:hAnsi="华文仿宋" w:eastAsia="华文仿宋" w:cs="华文仿宋"/>
          <w:b w:val="0"/>
          <w:bCs w:val="0"/>
          <w:color w:val="auto"/>
          <w:sz w:val="32"/>
          <w:szCs w:val="32"/>
          <w:lang w:val="en" w:eastAsia="zh-CN"/>
        </w:rPr>
        <w:t>1</w:t>
      </w:r>
      <w:r>
        <w:rPr>
          <w:rFonts w:hint="eastAsia" w:ascii="华文仿宋" w:hAnsi="华文仿宋" w:eastAsia="华文仿宋" w:cs="华文仿宋"/>
          <w:b w:val="0"/>
          <w:bCs w:val="0"/>
          <w:color w:val="auto"/>
          <w:sz w:val="32"/>
          <w:szCs w:val="32"/>
        </w:rPr>
        <w:t>月</w:t>
      </w:r>
      <w:r>
        <w:rPr>
          <w:rFonts w:hint="default" w:ascii="华文仿宋" w:hAnsi="华文仿宋" w:eastAsia="华文仿宋" w:cs="华文仿宋"/>
          <w:b w:val="0"/>
          <w:bCs w:val="0"/>
          <w:color w:val="auto"/>
          <w:sz w:val="32"/>
          <w:szCs w:val="32"/>
          <w:lang w:val="en" w:eastAsia="zh-CN"/>
        </w:rPr>
        <w:t>31</w:t>
      </w:r>
      <w:r>
        <w:rPr>
          <w:rFonts w:hint="eastAsia" w:ascii="华文仿宋" w:hAnsi="华文仿宋" w:eastAsia="华文仿宋" w:cs="华文仿宋"/>
          <w:b w:val="0"/>
          <w:bCs w:val="0"/>
          <w:color w:val="auto"/>
          <w:sz w:val="32"/>
          <w:szCs w:val="32"/>
        </w:rPr>
        <w:t>日止</w:t>
      </w:r>
      <w:r>
        <w:rPr>
          <w:rFonts w:hint="eastAsia" w:ascii="华文仿宋" w:hAnsi="华文仿宋" w:eastAsia="华文仿宋" w:cs="华文仿宋"/>
          <w:b w:val="0"/>
          <w:bCs w:val="0"/>
          <w:color w:val="000000" w:themeColor="text1"/>
          <w:sz w:val="32"/>
          <w:szCs w:val="32"/>
          <w14:textFill>
            <w14:solidFill>
              <w14:schemeClr w14:val="tx1"/>
            </w14:solidFill>
          </w14:textFill>
        </w:rPr>
        <w:t>。</w:t>
      </w:r>
      <w:r>
        <w:rPr>
          <w:rFonts w:hint="eastAsia" w:ascii="华文仿宋" w:hAnsi="华文仿宋" w:eastAsia="华文仿宋" w:cs="华文仿宋"/>
          <w:b w:val="0"/>
          <w:bCs w:val="0"/>
          <w:color w:val="000000" w:themeColor="text1"/>
          <w:sz w:val="32"/>
          <w:szCs w:val="32"/>
          <w:lang w:eastAsia="zh-CN"/>
          <w14:textFill>
            <w14:solidFill>
              <w14:schemeClr w14:val="tx1"/>
            </w14:solidFill>
          </w14:textFill>
        </w:rPr>
        <w:t>试点期限</w:t>
      </w:r>
      <w:r>
        <w:rPr>
          <w:rFonts w:hint="eastAsia" w:ascii="华文仿宋" w:hAnsi="华文仿宋" w:eastAsia="华文仿宋" w:cs="华文仿宋"/>
          <w:b w:val="0"/>
          <w:bCs w:val="0"/>
          <w:color w:val="000000" w:themeColor="text1"/>
          <w:sz w:val="32"/>
          <w:szCs w:val="32"/>
          <w:lang w:val="en-US" w:eastAsia="zh-CN"/>
          <w14:textFill>
            <w14:solidFill>
              <w14:schemeClr w14:val="tx1"/>
            </w14:solidFill>
          </w14:textFill>
        </w:rPr>
        <w:t>2年，</w:t>
      </w:r>
      <w:r>
        <w:rPr>
          <w:rFonts w:hint="eastAsia" w:ascii="华文仿宋" w:hAnsi="华文仿宋" w:eastAsia="华文仿宋" w:cs="华文仿宋"/>
          <w:b w:val="0"/>
          <w:bCs w:val="0"/>
          <w:color w:val="000000" w:themeColor="text1"/>
          <w:sz w:val="32"/>
          <w:szCs w:val="32"/>
          <w14:textFill>
            <w14:solidFill>
              <w14:schemeClr w14:val="tx1"/>
            </w14:solidFill>
          </w14:textFill>
        </w:rPr>
        <w:t>期满</w:t>
      </w:r>
      <w:r>
        <w:rPr>
          <w:rFonts w:hint="eastAsia" w:ascii="华文仿宋" w:hAnsi="华文仿宋" w:eastAsia="华文仿宋" w:cs="华文仿宋"/>
          <w:b w:val="0"/>
          <w:bCs w:val="0"/>
          <w:color w:val="auto"/>
          <w:sz w:val="32"/>
          <w:szCs w:val="32"/>
        </w:rPr>
        <w:t>前</w:t>
      </w:r>
      <w:r>
        <w:rPr>
          <w:rFonts w:hint="default" w:ascii="华文仿宋" w:hAnsi="华文仿宋" w:eastAsia="华文仿宋" w:cs="华文仿宋"/>
          <w:b w:val="0"/>
          <w:bCs w:val="0"/>
          <w:color w:val="auto"/>
          <w:sz w:val="32"/>
          <w:szCs w:val="32"/>
        </w:rPr>
        <w:t>6</w:t>
      </w:r>
      <w:r>
        <w:rPr>
          <w:rFonts w:hint="eastAsia" w:ascii="华文仿宋" w:hAnsi="华文仿宋" w:eastAsia="华文仿宋" w:cs="华文仿宋"/>
          <w:b w:val="0"/>
          <w:bCs w:val="0"/>
          <w:color w:val="auto"/>
          <w:sz w:val="32"/>
          <w:szCs w:val="32"/>
        </w:rPr>
        <w:t>个月由省局组织全面评估，决定后续政策。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改革</w:t>
      </w:r>
      <w:r>
        <w:rPr>
          <w:rFonts w:hint="eastAsia" w:ascii="黑体" w:hAnsi="黑体" w:eastAsia="黑体" w:cs="黑体"/>
          <w:sz w:val="32"/>
          <w:szCs w:val="32"/>
          <w:highlight w:val="none"/>
        </w:rPr>
        <w:t>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依据《计量法》第二十条、《计量授权管理办法》第五条、</w:t>
      </w:r>
      <w:r>
        <w:rPr>
          <w:rFonts w:hint="default" w:ascii="仿宋_GB2312" w:hAnsi="仿宋_GB2312" w:eastAsia="仿宋_GB2312" w:cs="仿宋_GB2312"/>
          <w:sz w:val="32"/>
          <w:szCs w:val="32"/>
          <w:highlight w:val="none"/>
        </w:rPr>
        <w:t>第七条，</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并贯彻落实《市场监管总局关于推进诚信计量体系建设的指导意见》（市监计量发〔2022〕98号）精神，</w:t>
      </w:r>
      <w:r>
        <w:rPr>
          <w:rFonts w:hint="default" w:ascii="仿宋_GB2312" w:hAnsi="仿宋_GB2312" w:eastAsia="仿宋_GB2312" w:cs="仿宋_GB2312"/>
          <w:sz w:val="32"/>
          <w:szCs w:val="32"/>
        </w:rPr>
        <w:t>参照 JJF 1069-2012</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《法定计量检定机构考核规范》及 JJF（豫）1002-2013 《河南省专项计量授权考核规范》适用条</w:t>
      </w:r>
      <w:r>
        <w:rPr>
          <w:rFonts w:hint="eastAsia" w:ascii="仿宋_GB2312" w:hAnsi="仿宋_GB2312" w:eastAsia="仿宋_GB2312" w:cs="仿宋_GB2312"/>
          <w:sz w:val="32"/>
          <w:szCs w:val="32"/>
        </w:rPr>
        <w:t>款，制定本省“二检合一”</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计量授权考核细则，细化操作要求，提升考核工作与本省实际的契合度及实施效能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构建覆盖授权、检定、溯源、监管、惩戒全链条的诚信计量管理体系。经省级市场监管部门授权的生产企业，对其制造的民用水表、燃气表在出厂前实施计量检定，检定合格后在安装前不再进行首次强制检定。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（一）严格授权条件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申请企业须同时满足下列条件：</w:t>
      </w:r>
    </w:p>
    <w:p>
      <w:pPr>
        <w:ind w:firstLine="640" w:firstLineChars="200"/>
        <w:rPr>
          <w:rFonts w:hint="default" w:ascii="Nimbus Roman" w:hAnsi="Nimbus Roman" w:eastAsia="仿宋_GB2312" w:cs="Nimbus Roman"/>
          <w:color w:val="FF0000"/>
          <w:sz w:val="32"/>
          <w:szCs w:val="32"/>
          <w:highlight w:val="lightGray"/>
          <w:shd w:val="clear" w:color="auto" w:fill="auto"/>
          <w:lang w:val="en-US" w:eastAsia="zh-CN"/>
        </w:rPr>
      </w:pP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1.</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计量标准。</w:t>
      </w:r>
      <w:r>
        <w:rPr>
          <w:rFonts w:hint="default"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建立与所申请</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w:t>
      </w:r>
      <w:r>
        <w:rPr>
          <w:rFonts w:hint="default"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二检合一</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w:t>
      </w:r>
      <w:r>
        <w:rPr>
          <w:rFonts w:hint="default"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检定项目相适应的计量标准，其计量标准器及配套设备、环境条件等必须满足相应国家计量检定规程的要求。该计量标准须</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依法通过</w:t>
      </w:r>
      <w:r>
        <w:rPr>
          <w:rFonts w:hint="default"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计量标准考核，取得</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在有效期内的</w:t>
      </w:r>
      <w:r>
        <w:rPr>
          <w:rFonts w:hint="default"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《计量标准考核证书》。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2.</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 xml:space="preserve"> </w:t>
      </w:r>
      <w:r>
        <w:rPr>
          <w:rFonts w:hint="default" w:ascii="楷体_GB2312" w:hAnsi="楷体_GB2312" w:eastAsia="楷体_GB2312" w:cs="楷体_GB2312"/>
          <w:sz w:val="32"/>
          <w:szCs w:val="32"/>
          <w:lang w:val="en" w:eastAsia="zh-CN"/>
        </w:rPr>
        <w:t>管理体系。</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运行满足“二检合一”专项授权考核细则要求的质量管理体系。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3.</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 xml:space="preserve"> </w:t>
      </w:r>
      <w:r>
        <w:rPr>
          <w:rFonts w:hint="default" w:ascii="楷体_GB2312" w:hAnsi="楷体_GB2312" w:eastAsia="楷体_GB2312" w:cs="楷体_GB2312"/>
          <w:sz w:val="32"/>
          <w:szCs w:val="32"/>
          <w:lang w:val="en" w:eastAsia="zh-CN"/>
        </w:rPr>
        <w:t>信息化能力。</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具备与“河南智慧计量监管平台”</w:t>
      </w:r>
      <w:r>
        <w:rPr>
          <w:rFonts w:hint="eastAsia"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以下简称“省平台”）对接条件，确保数据完整上传。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 xml:space="preserve">4. </w:t>
      </w:r>
      <w:r>
        <w:rPr>
          <w:rFonts w:hint="default" w:ascii="楷体_GB2312" w:hAnsi="楷体_GB2312" w:eastAsia="楷体_GB2312" w:cs="楷体_GB2312"/>
          <w:sz w:val="32"/>
          <w:szCs w:val="32"/>
          <w:lang w:val="en" w:eastAsia="zh-CN"/>
        </w:rPr>
        <w:t>诚信承诺。</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签署并向社会公开《“二检合一”诚信计量承诺书》（附件3），承诺履行全链条诚信责任。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（二）规范授权流程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对满足授权条件的生产企业，按照以下程序进行“二检合一”专项计量授权：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1.</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 </w:t>
      </w:r>
      <w:r>
        <w:rPr>
          <w:rFonts w:hint="eastAsia" w:ascii="楷体_GB2312" w:hAnsi="楷体_GB2312" w:eastAsia="楷体_GB2312" w:cs="楷体_GB2312"/>
          <w:sz w:val="32"/>
          <w:szCs w:val="32"/>
          <w:highlight w:val="none"/>
          <w:lang w:val="en-US" w:eastAsia="zh-CN"/>
        </w:rPr>
        <w:t>企业申请与市局初审。</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符合条件的生产企业自愿向所在地市级市场监管部门提交申请材料。市局初审通过后，由市局将申请材料</w:t>
      </w:r>
      <w:r>
        <w:rPr>
          <w:rFonts w:hint="eastAsia"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推荐</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至省级市场监管部门。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 </w:t>
      </w:r>
      <w:r>
        <w:rPr>
          <w:rFonts w:hint="eastAsia" w:ascii="楷体_GB2312" w:hAnsi="楷体_GB2312" w:eastAsia="楷体_GB2312" w:cs="楷体_GB2312"/>
          <w:sz w:val="32"/>
          <w:szCs w:val="32"/>
          <w:highlight w:val="none"/>
          <w:lang w:val="en-US" w:eastAsia="zh-CN"/>
        </w:rPr>
        <w:t>现场考核。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省级市场监管部门组织对满足授权条件的生产企业进行现场考核，考核流程严格按照《</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河南省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民用水表、燃气表生产企业“二检合一”专项计量授权考核细则》（附件</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中考核要求进行。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 xml:space="preserve"> </w:t>
      </w:r>
      <w:r>
        <w:rPr>
          <w:rFonts w:hint="eastAsia" w:ascii="楷体_GB2312" w:hAnsi="楷体_GB2312" w:eastAsia="楷体_GB2312" w:cs="楷体_GB2312"/>
          <w:sz w:val="32"/>
          <w:szCs w:val="32"/>
          <w:lang w:val="en-US" w:eastAsia="zh-CN"/>
        </w:rPr>
        <w:t>授权发证。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通过现场考核的，省级市场监管部门依程序审查材料，对审查合格的生产企业进行授权并颁发“二检合一”《专项计量授权证书》。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（三）规范企业检定与诚信溯源机制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1.</w:t>
      </w:r>
      <w:r>
        <w:rPr>
          <w:rFonts w:hint="default" w:ascii="Nimbus Roman" w:hAnsi="Nimbus Roman" w:eastAsia="仿宋_GB2312" w:cs="Nimbus Roman"/>
          <w:color w:val="000000" w:themeColor="text1"/>
          <w:sz w:val="32"/>
          <w:szCs w:val="32"/>
          <w:highlight w:val="none"/>
          <w:shd w:val="clear" w:color="auto" w:fill="auto"/>
          <w:lang w:val="en" w:eastAsia="zh-CN"/>
          <w14:textFill>
            <w14:solidFill>
              <w14:schemeClr w14:val="tx1"/>
            </w14:solidFill>
          </w14:textFill>
        </w:rPr>
        <w:t xml:space="preserve"> </w:t>
      </w:r>
      <w:r>
        <w:rPr>
          <w:rFonts w:hint="eastAsia" w:ascii="楷体_GB2312" w:hAnsi="楷体_GB2312" w:eastAsia="楷体_GB2312" w:cs="楷体_GB2312"/>
          <w:sz w:val="32"/>
          <w:szCs w:val="32"/>
          <w:lang w:val="en-US" w:eastAsia="zh-CN"/>
        </w:rPr>
        <w:t>严格依规检定。</w:t>
      </w:r>
      <w:r>
        <w:rPr>
          <w:rFonts w:hint="eastAsia" w:ascii="仿宋_GB2312" w:hAnsi="仿宋_GB2312" w:eastAsia="仿宋_GB2312" w:cs="仿宋_GB2312"/>
          <w:sz w:val="32"/>
          <w:szCs w:val="32"/>
        </w:rPr>
        <w:t>获得专项计量授权的生产企业</w:t>
      </w:r>
      <w:r>
        <w:rPr>
          <w:rFonts w:hint="eastAsia" w:ascii="仿宋_GB2312" w:hAnsi="仿宋_GB2312" w:eastAsia="仿宋_GB2312" w:cs="仿宋_GB2312"/>
          <w:sz w:val="32"/>
          <w:szCs w:val="32"/>
          <w:lang w:val="en-US" w:eastAsia="zh-CN"/>
        </w:rPr>
        <w:t>必须依据现行国家计量检定规程实施全项目、全数量出厂检定，</w:t>
      </w:r>
      <w:r>
        <w:rPr>
          <w:rFonts w:hint="eastAsia" w:ascii="仿宋_GB2312" w:hAnsi="仿宋_GB2312" w:eastAsia="仿宋_GB2312" w:cs="仿宋_GB2312"/>
          <w:sz w:val="32"/>
          <w:szCs w:val="32"/>
        </w:rPr>
        <w:t>严禁简化</w:t>
      </w:r>
      <w:r>
        <w:rPr>
          <w:rFonts w:hint="eastAsia" w:ascii="仿宋_GB2312" w:hAnsi="仿宋_GB2312" w:eastAsia="仿宋_GB2312" w:cs="仿宋_GB2312"/>
          <w:color w:val="auto"/>
          <w:sz w:val="32"/>
          <w:szCs w:val="32"/>
        </w:rPr>
        <w:t>流程、放宽要求</w:t>
      </w:r>
      <w:r>
        <w:rPr>
          <w:rFonts w:hint="eastAsia" w:ascii="仿宋_GB2312" w:hAnsi="仿宋_GB2312" w:eastAsia="仿宋_GB2312" w:cs="仿宋_GB2312"/>
          <w:color w:val="auto"/>
          <w:sz w:val="32"/>
          <w:szCs w:val="32"/>
          <w:lang w:val="en-US" w:eastAsia="zh-CN"/>
        </w:rPr>
        <w:t>。应通过工艺控制使每批次平均示值误差趋向于零，确保单台产品计量性能合格</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Nimbus Roman" w:hAnsi="Nimbus Roman" w:eastAsia="仿宋_GB2312" w:cs="Nimbus Roman"/>
          <w:color w:val="auto"/>
          <w:sz w:val="32"/>
          <w:szCs w:val="32"/>
          <w:highlight w:val="none"/>
          <w:shd w:val="clear" w:color="auto" w:fill="auto"/>
          <w:lang w:val="en" w:eastAsia="zh-CN"/>
        </w:rPr>
      </w:pPr>
      <w:r>
        <w:rPr>
          <w:rFonts w:hint="eastAsia" w:ascii="Nimbus Roman" w:hAnsi="Nimbus Roman" w:eastAsia="仿宋_GB2312" w:cs="Nimbus Roman"/>
          <w:color w:val="auto"/>
          <w:sz w:val="32"/>
          <w:szCs w:val="32"/>
          <w:highlight w:val="none"/>
          <w:shd w:val="clear" w:color="auto" w:fill="auto"/>
          <w:lang w:val="en-US" w:eastAsia="zh-CN"/>
        </w:rPr>
        <w:t>2.</w:t>
      </w:r>
      <w:r>
        <w:rPr>
          <w:rFonts w:hint="default" w:ascii="Nimbus Roman" w:hAnsi="Nimbus Roman" w:eastAsia="仿宋_GB2312" w:cs="Nimbus Roman"/>
          <w:color w:val="auto"/>
          <w:sz w:val="32"/>
          <w:szCs w:val="32"/>
          <w:highlight w:val="none"/>
          <w:shd w:val="clear" w:color="auto" w:fill="auto"/>
          <w:lang w:val="en" w:eastAsia="zh-CN"/>
        </w:rPr>
        <w:t xml:space="preserve"> </w:t>
      </w:r>
      <w:r>
        <w:rPr>
          <w:rFonts w:hint="default" w:ascii="楷体_GB2312" w:hAnsi="楷体_GB2312" w:eastAsia="楷体_GB2312" w:cs="楷体_GB2312"/>
          <w:color w:val="auto"/>
          <w:sz w:val="32"/>
          <w:szCs w:val="32"/>
          <w:lang w:val="en" w:eastAsia="zh-CN"/>
        </w:rPr>
        <w:t>统一赋码溯源。</w:t>
      </w:r>
      <w:r>
        <w:rPr>
          <w:rFonts w:hint="default" w:ascii="Nimbus Roman" w:hAnsi="Nimbus Roman" w:eastAsia="仿宋_GB2312" w:cs="Nimbus Roman"/>
          <w:color w:val="auto"/>
          <w:sz w:val="32"/>
          <w:szCs w:val="32"/>
          <w:highlight w:val="none"/>
          <w:shd w:val="clear" w:color="auto" w:fill="auto"/>
          <w:lang w:val="en" w:eastAsia="zh-CN"/>
        </w:rPr>
        <w:t>实行“一表一码”管理，对检定合格的计量器具</w:t>
      </w:r>
      <w:r>
        <w:rPr>
          <w:rFonts w:hint="eastAsia" w:ascii="Nimbus Roman" w:hAnsi="Nimbus Roman" w:eastAsia="仿宋_GB2312" w:cs="Nimbus Roman"/>
          <w:color w:val="auto"/>
          <w:sz w:val="32"/>
          <w:szCs w:val="32"/>
          <w:highlight w:val="none"/>
          <w:shd w:val="clear" w:color="auto" w:fill="auto"/>
          <w:lang w:val="en" w:eastAsia="zh-CN"/>
        </w:rPr>
        <w:t>产品</w:t>
      </w:r>
      <w:r>
        <w:rPr>
          <w:rFonts w:hint="default" w:ascii="Nimbus Roman" w:hAnsi="Nimbus Roman" w:eastAsia="仿宋_GB2312" w:cs="Nimbus Roman"/>
          <w:color w:val="auto"/>
          <w:sz w:val="32"/>
          <w:szCs w:val="32"/>
          <w:highlight w:val="none"/>
          <w:shd w:val="clear" w:color="auto" w:fill="auto"/>
          <w:lang w:val="en" w:eastAsia="zh-CN"/>
        </w:rPr>
        <w:t>进行唯一性赋码，出具检定证书、</w:t>
      </w:r>
      <w:r>
        <w:rPr>
          <w:rFonts w:hint="eastAsia" w:ascii="Nimbus Roman" w:hAnsi="Nimbus Roman" w:eastAsia="仿宋_GB2312" w:cs="Nimbus Roman"/>
          <w:color w:val="auto"/>
          <w:sz w:val="32"/>
          <w:szCs w:val="32"/>
          <w:highlight w:val="none"/>
          <w:shd w:val="clear" w:color="auto" w:fill="auto"/>
          <w:lang w:val="en" w:eastAsia="zh-CN"/>
        </w:rPr>
        <w:t>加贴</w:t>
      </w:r>
      <w:r>
        <w:rPr>
          <w:rFonts w:hint="default" w:ascii="Nimbus Roman" w:hAnsi="Nimbus Roman" w:eastAsia="仿宋_GB2312" w:cs="Nimbus Roman"/>
          <w:color w:val="auto"/>
          <w:sz w:val="32"/>
          <w:szCs w:val="32"/>
          <w:highlight w:val="none"/>
          <w:shd w:val="clear" w:color="auto" w:fill="auto"/>
          <w:lang w:val="en" w:eastAsia="zh-CN"/>
        </w:rPr>
        <w:t>合格证</w:t>
      </w:r>
      <w:r>
        <w:rPr>
          <w:rFonts w:hint="eastAsia" w:ascii="Nimbus Roman" w:hAnsi="Nimbus Roman" w:eastAsia="仿宋_GB2312" w:cs="Nimbus Roman"/>
          <w:color w:val="auto"/>
          <w:sz w:val="32"/>
          <w:szCs w:val="32"/>
          <w:highlight w:val="none"/>
          <w:shd w:val="clear" w:color="auto" w:fill="auto"/>
          <w:lang w:val="en"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企业按“企业代码+生产批次+表编号”规则生成唯一二维码，将检定证书全部信息嵌入其中，随表配发并向社会公开，供公众查询监督；“企业代码”随企业取得</w:t>
      </w:r>
      <w:r>
        <w:rPr>
          <w:rFonts w:hint="eastAsia" w:ascii="仿宋_GB2312" w:hAnsi="仿宋_GB2312" w:eastAsia="仿宋_GB2312" w:cs="仿宋_GB2312"/>
          <w:color w:val="auto"/>
          <w:sz w:val="32"/>
          <w:szCs w:val="32"/>
          <w:highlight w:val="none"/>
          <w:lang w:val="en-US" w:eastAsia="zh-CN"/>
        </w:rPr>
        <w:t>“二检合一”《专项计量授权证书》同时取得。</w:t>
      </w:r>
      <w:r>
        <w:rPr>
          <w:rFonts w:hint="eastAsia" w:ascii="仿宋_GB2312" w:hAnsi="仿宋_GB2312" w:eastAsia="仿宋_GB2312" w:cs="仿宋_GB2312"/>
          <w:color w:val="auto"/>
          <w:sz w:val="32"/>
          <w:szCs w:val="32"/>
          <w:highlight w:val="none"/>
          <w:lang w:eastAsia="zh-CN"/>
        </w:rPr>
        <w:t>企业应建立覆盖原始记录、检定证书及销售渠道的信息化台账，确保数据可查、过程可追、责任可究</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Nimbus Roman" w:hAnsi="Nimbus Roman" w:eastAsia="仿宋_GB2312" w:cs="Nimbus Roman"/>
          <w:color w:val="auto"/>
          <w:sz w:val="32"/>
          <w:szCs w:val="32"/>
          <w:highlight w:val="none"/>
          <w:shd w:val="clear" w:color="auto" w:fill="auto"/>
          <w:lang w:val="en-US" w:eastAsia="zh-CN"/>
        </w:rPr>
        <w:t>3.</w:t>
      </w:r>
      <w:r>
        <w:rPr>
          <w:rFonts w:hint="default" w:ascii="Nimbus Roman" w:hAnsi="Nimbus Roman" w:eastAsia="仿宋_GB2312" w:cs="Nimbus Roman"/>
          <w:color w:val="auto"/>
          <w:sz w:val="32"/>
          <w:szCs w:val="32"/>
          <w:highlight w:val="none"/>
          <w:shd w:val="clear" w:color="auto" w:fill="auto"/>
          <w:lang w:val="en" w:eastAsia="zh-CN"/>
        </w:rPr>
        <w:t xml:space="preserve"> </w:t>
      </w:r>
      <w:r>
        <w:rPr>
          <w:rFonts w:hint="eastAsia" w:ascii="楷体_GB2312" w:hAnsi="楷体_GB2312" w:eastAsia="楷体_GB2312" w:cs="楷体_GB2312"/>
          <w:color w:val="auto"/>
          <w:sz w:val="32"/>
          <w:szCs w:val="32"/>
          <w:lang w:val="en-US" w:eastAsia="zh-CN"/>
        </w:rPr>
        <w:t>数据实时上传。</w:t>
      </w:r>
      <w:r>
        <w:rPr>
          <w:rFonts w:hint="eastAsia" w:ascii="Nimbus Roman" w:hAnsi="Nimbus Roman" w:eastAsia="仿宋_GB2312" w:cs="Nimbus Roman"/>
          <w:color w:val="auto"/>
          <w:sz w:val="32"/>
          <w:szCs w:val="32"/>
          <w:highlight w:val="none"/>
          <w:shd w:val="clear" w:color="auto" w:fill="auto"/>
          <w:lang w:val="en-US" w:eastAsia="zh-CN"/>
        </w:rPr>
        <w:t>企业须在出厂前将完整、准确的检定证</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书数据上传至省平台，作为后续监督抽样、信用评价和监管执法的基础依据</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（四）强化信用监管机制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Nimbus Roman" w:hAnsi="Nimbus Roman" w:eastAsia="仿宋_GB2312" w:cs="Nimbus Roman"/>
          <w:color w:val="auto"/>
          <w:sz w:val="32"/>
          <w:szCs w:val="32"/>
          <w:highlight w:val="none"/>
          <w:shd w:val="clear" w:color="auto" w:fill="auto"/>
          <w:lang w:val="en-US" w:eastAsia="zh-CN"/>
        </w:rPr>
      </w:pPr>
      <w:r>
        <w:rPr>
          <w:rFonts w:hint="eastAsia" w:ascii="Nimbus Roman" w:hAnsi="Nimbus Roman" w:eastAsia="仿宋_GB2312" w:cs="Nimbus Roman"/>
          <w:color w:val="auto"/>
          <w:sz w:val="32"/>
          <w:szCs w:val="32"/>
          <w:highlight w:val="none"/>
          <w:shd w:val="clear" w:color="auto" w:fill="auto"/>
          <w:lang w:val="en-US" w:eastAsia="zh-CN"/>
        </w:rPr>
        <w:t>1.</w:t>
      </w:r>
      <w:r>
        <w:rPr>
          <w:rFonts w:hint="default" w:ascii="Nimbus Roman" w:hAnsi="Nimbus Roman" w:eastAsia="仿宋_GB2312" w:cs="Nimbus Roman"/>
          <w:color w:val="auto"/>
          <w:sz w:val="32"/>
          <w:szCs w:val="32"/>
          <w:highlight w:val="none"/>
          <w:shd w:val="clear" w:color="auto" w:fill="auto"/>
          <w:lang w:val="en" w:eastAsia="zh-CN"/>
        </w:rPr>
        <w:t xml:space="preserve"> </w:t>
      </w:r>
      <w:r>
        <w:rPr>
          <w:rFonts w:hint="eastAsia" w:ascii="楷体_GB2312" w:hAnsi="楷体_GB2312" w:eastAsia="楷体_GB2312" w:cs="楷体_GB2312"/>
          <w:color w:val="auto"/>
          <w:sz w:val="32"/>
          <w:szCs w:val="32"/>
          <w:highlight w:val="none"/>
          <w:lang w:val="en-US" w:eastAsia="zh-CN"/>
        </w:rPr>
        <w:t>验收登记与备案申请。</w:t>
      </w:r>
      <w:r>
        <w:rPr>
          <w:rFonts w:hint="eastAsia" w:ascii="仿宋_GB2312" w:hAnsi="仿宋_GB2312" w:eastAsia="仿宋_GB2312" w:cs="仿宋_GB2312"/>
          <w:color w:val="auto"/>
          <w:sz w:val="32"/>
          <w:szCs w:val="32"/>
          <w:highlight w:val="none"/>
          <w:lang w:val="en-US" w:eastAsia="zh-CN"/>
        </w:rPr>
        <w:t>实行“二检合一”</w:t>
      </w:r>
      <w:r>
        <w:rPr>
          <w:rFonts w:hint="eastAsia" w:ascii="仿宋_GB2312" w:hAnsi="仿宋_GB2312" w:eastAsia="仿宋_GB2312" w:cs="仿宋_GB2312"/>
          <w:sz w:val="32"/>
          <w:szCs w:val="32"/>
          <w:highlight w:val="none"/>
          <w:lang w:val="en-US" w:eastAsia="zh-CN"/>
        </w:rPr>
        <w:t>的</w:t>
      </w:r>
      <w:r>
        <w:rPr>
          <w:rFonts w:hint="eastAsia" w:ascii="Nimbus Roman" w:hAnsi="Nimbus Roman" w:eastAsia="仿宋_GB2312" w:cs="Nimbus Roman"/>
          <w:color w:val="auto"/>
          <w:sz w:val="32"/>
          <w:szCs w:val="32"/>
          <w:highlight w:val="none"/>
          <w:shd w:val="clear" w:color="auto" w:fill="auto"/>
          <w:lang w:val="en-US" w:eastAsia="zh-CN"/>
        </w:rPr>
        <w:t>水表、燃气表安装前，供水、供气经营单位应履行验收主体责任，核验拟安装表具的二维码信息及对应的检定证书；凡无码、码不符或检定证书缺失的，应立即将表具退回生产企业，不得接收，并同时将情况报告属地市级市场监管部门；对验收通过的表具，经营单位须向表具安装地所属市级市场监管部门提交安装前备案申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方正楷体_GB2312" w:hAnsi="方正楷体_GB2312" w:eastAsia="方正楷体_GB2312" w:cs="方正楷体_GB2312"/>
          <w:color w:val="auto"/>
          <w:sz w:val="32"/>
          <w:szCs w:val="32"/>
          <w:highlight w:val="none"/>
          <w:shd w:val="clear" w:color="auto" w:fill="auto"/>
          <w:lang w:val="en-US" w:eastAsia="zh-CN"/>
        </w:rPr>
        <w:t>2. 监督抽检与备案确认。</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市级市场监管部门应依据供水、供气经营单位民用两表备案情况，委托法定计量检定机构按照《河南省民用水表、燃气表安装前监督抽样检定工作指引》（附件1）实施安装前监督抽样检定，监督抽样检定不得收费。检定结果须按时回传省平台</w:t>
      </w:r>
      <w:r>
        <w:rPr>
          <w:rFonts w:hint="eastAsia" w:ascii="Nimbus Roman" w:hAnsi="Nimbus Roman" w:eastAsia="仿宋_GB2312" w:cs="Nimbus Roman"/>
          <w:b w:val="0"/>
          <w:bCs w:val="0"/>
          <w:color w:val="000000" w:themeColor="text1"/>
          <w:sz w:val="32"/>
          <w:szCs w:val="32"/>
          <w:highlight w:val="none"/>
          <w:shd w:val="clear" w:color="auto" w:fill="auto"/>
          <w:lang w:val="en-US" w:eastAsia="zh-CN"/>
          <w14:textFill>
            <w14:solidFill>
              <w14:schemeClr w14:val="tx1"/>
            </w14:solidFill>
          </w14:textFill>
        </w:rPr>
        <w:t>，作为是否予以备案的依据：合格的，予以备案并准予安装；不合格的，不予备案，经营单位不得安装使用，</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全批次表具应当退回生产企业，</w:t>
      </w:r>
      <w:r>
        <w:rPr>
          <w:rFonts w:hint="eastAsia" w:ascii="Nimbus Roman" w:hAnsi="Nimbus Roman" w:eastAsia="仿宋_GB2312" w:cs="Nimbus Roman"/>
          <w:b w:val="0"/>
          <w:bCs w:val="0"/>
          <w:color w:val="000000" w:themeColor="text1"/>
          <w:sz w:val="32"/>
          <w:szCs w:val="32"/>
          <w:highlight w:val="none"/>
          <w:shd w:val="clear" w:color="auto" w:fill="auto"/>
          <w:lang w:val="en-US" w:eastAsia="zh-CN"/>
          <w14:textFill>
            <w14:solidFill>
              <w14:schemeClr w14:val="tx1"/>
            </w14:solidFill>
          </w14:textFill>
        </w:rPr>
        <w:t>由市级市场监管部门依照《计量法》《产品质量法》等规定处理。同一型号产品在同一自然年度内，累计出现2次监督抽样检定不合格的，视为不再符合专项计量授权条件，由省级市场监管部门依法处理。</w:t>
      </w:r>
      <w:r>
        <w:rPr>
          <w:rFonts w:hint="eastAsia" w:ascii="Nimbus Roman" w:hAnsi="Nimbus Roman" w:eastAsia="仿宋_GB2312" w:cs="Nimbus Roman"/>
          <w:color w:val="000000" w:themeColor="text1"/>
          <w:sz w:val="32"/>
          <w:szCs w:val="32"/>
          <w:highlight w:val="none"/>
          <w:shd w:val="clear" w:color="auto" w:fill="auto"/>
          <w:lang w:val="en-US" w:eastAsia="zh-CN"/>
          <w14:textFill>
            <w14:solidFill>
              <w14:schemeClr w14:val="tx1"/>
            </w14:solidFill>
          </w14:textFill>
        </w:rPr>
        <w:t>监督抽样检定结果作为关键信用信息，记入试点企业“二检合一”专项信用记录，并按规定归集至全省信用信息共享平台，作为实施信用评价、风险分类和分级分类监管的重要依据。</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Nimbus Roman" w:hAnsi="Nimbus Roman" w:eastAsia="仿宋_GB2312" w:cs="Nimbus Roman"/>
          <w:color w:val="auto"/>
          <w:sz w:val="32"/>
          <w:szCs w:val="32"/>
          <w:highlight w:val="none"/>
          <w:lang w:val="en-US" w:eastAsia="zh-CN"/>
        </w:rPr>
        <w:t>3</w:t>
      </w:r>
      <w:r>
        <w:rPr>
          <w:rFonts w:hint="default" w:ascii="Nimbus Roman" w:hAnsi="Nimbus Roman" w:eastAsia="仿宋_GB2312" w:cs="Nimbus Roman"/>
          <w:color w:val="auto"/>
          <w:sz w:val="32"/>
          <w:szCs w:val="32"/>
          <w:highlight w:val="none"/>
          <w:lang w:val="en-US" w:eastAsia="zh-CN"/>
        </w:rPr>
        <w:t>.</w:t>
      </w:r>
      <w:r>
        <w:rPr>
          <w:rFonts w:hint="default" w:ascii="Nimbus Roman" w:hAnsi="Nimbus Roman" w:eastAsia="仿宋_GB2312" w:cs="Nimbus Roman"/>
          <w:color w:val="auto"/>
          <w:sz w:val="32"/>
          <w:szCs w:val="32"/>
          <w:highlight w:val="none"/>
          <w:lang w:val="en" w:eastAsia="zh-CN"/>
        </w:rPr>
        <w:t xml:space="preserve"> </w:t>
      </w:r>
      <w:r>
        <w:rPr>
          <w:rFonts w:hint="eastAsia" w:ascii="楷体_GB2312" w:hAnsi="楷体_GB2312" w:eastAsia="楷体_GB2312" w:cs="楷体_GB2312"/>
          <w:color w:val="auto"/>
          <w:sz w:val="32"/>
          <w:szCs w:val="32"/>
          <w:lang w:val="en-US" w:eastAsia="zh-CN"/>
        </w:rPr>
        <w:t>信</w:t>
      </w:r>
      <w:r>
        <w:rPr>
          <w:rFonts w:hint="eastAsia" w:ascii="楷体_GB2312" w:hAnsi="楷体_GB2312" w:eastAsia="楷体_GB2312" w:cs="楷体_GB2312"/>
          <w:sz w:val="32"/>
          <w:szCs w:val="32"/>
          <w:lang w:val="en-US" w:eastAsia="zh-CN"/>
        </w:rPr>
        <w:t>用惩戒与修复。</w:t>
      </w:r>
      <w:r>
        <w:rPr>
          <w:rFonts w:hint="eastAsia" w:ascii="仿宋_GB2312" w:hAnsi="仿宋_GB2312" w:eastAsia="仿宋_GB2312" w:cs="仿宋_GB2312"/>
          <w:color w:val="auto"/>
          <w:sz w:val="32"/>
          <w:szCs w:val="32"/>
          <w:highlight w:val="none"/>
          <w:lang w:val="en-US" w:eastAsia="zh-CN"/>
        </w:rPr>
        <w:t>建立并归集试点企业“二检合一”专项信用信息，将监督抽样结果、消费者投诉及处理情况、企业履行救济承诺情况等信息，作为企业信用信息的重要组成部分，纳入诚信计量管理系统。对存在数据</w:t>
      </w:r>
      <w:r>
        <w:rPr>
          <w:rFonts w:hint="eastAsia" w:ascii="仿宋_GB2312" w:hAnsi="仿宋_GB2312" w:eastAsia="仿宋_GB2312" w:cs="仿宋_GB2312"/>
          <w:sz w:val="32"/>
          <w:szCs w:val="32"/>
          <w:lang w:val="en-US" w:eastAsia="zh-CN"/>
        </w:rPr>
        <w:t>造假、严重计量失准等失信行为的企业，依法撤销授权，实施跨部门联合惩戒。</w:t>
      </w:r>
      <w:r>
        <w:rPr>
          <w:rFonts w:hint="eastAsia" w:ascii="宋体" w:hAnsi="宋体" w:eastAsia="仿宋_GB2312" w:cs="CESI仿宋-GB2312"/>
          <w:b w:val="0"/>
          <w:bCs w:val="0"/>
          <w:color w:val="auto"/>
          <w:kern w:val="0"/>
          <w:sz w:val="32"/>
          <w:szCs w:val="32"/>
          <w:highlight w:val="none"/>
          <w:lang w:val="en-US" w:eastAsia="zh-CN" w:bidi="ar"/>
        </w:rPr>
        <w:t>持续完善</w:t>
      </w:r>
      <w:r>
        <w:rPr>
          <w:rFonts w:hint="eastAsia" w:ascii="仿宋_GB2312" w:hAnsi="仿宋_GB2312" w:eastAsia="仿宋_GB2312" w:cs="仿宋_GB2312"/>
          <w:color w:val="auto"/>
          <w:sz w:val="32"/>
          <w:szCs w:val="32"/>
          <w:highlight w:val="none"/>
          <w:lang w:val="en-US" w:eastAsia="zh-CN"/>
        </w:rPr>
        <w:t>信用修复机制，</w:t>
      </w:r>
      <w:r>
        <w:rPr>
          <w:rFonts w:hint="eastAsia" w:ascii="仿宋_GB2312" w:hAnsi="仿宋_GB2312" w:eastAsia="仿宋_GB2312" w:cs="仿宋_GB2312"/>
          <w:sz w:val="32"/>
          <w:szCs w:val="32"/>
          <w:lang w:val="en-US" w:eastAsia="zh-CN"/>
        </w:rPr>
        <w:t>鼓励失信企业限期整改，验收合格后依程序申请信用修复，促进企业守法诚信经营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（五）快速失准救济与消费者权益保障机制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Nimbus Roman" w:hAnsi="Nimbus Roman" w:eastAsia="仿宋_GB2312" w:cs="Nimbus Roman"/>
          <w:sz w:val="32"/>
          <w:szCs w:val="32"/>
          <w:lang w:val="en-US" w:eastAsia="zh-CN"/>
        </w:rPr>
        <w:t>1.</w:t>
      </w:r>
      <w:r>
        <w:rPr>
          <w:rFonts w:hint="default" w:ascii="Nimbus Roman" w:hAnsi="Nimbus Roman" w:eastAsia="仿宋_GB2312" w:cs="Nimbus Roman"/>
          <w:sz w:val="32"/>
          <w:szCs w:val="32"/>
          <w:lang w:val="en" w:eastAsia="zh-CN"/>
        </w:rPr>
        <w:t xml:space="preserve"> </w:t>
      </w:r>
      <w:r>
        <w:rPr>
          <w:rFonts w:hint="default" w:ascii="楷体_GB2312" w:hAnsi="楷体_GB2312" w:eastAsia="楷体_GB2312" w:cs="楷体_GB2312"/>
          <w:sz w:val="32"/>
          <w:szCs w:val="32"/>
          <w:lang w:val="en-US" w:eastAsia="zh-CN"/>
        </w:rPr>
        <w:t>企业先行救济。</w:t>
      </w:r>
      <w:r>
        <w:rPr>
          <w:rFonts w:hint="default" w:ascii="仿宋_GB2312" w:hAnsi="仿宋_GB2312" w:eastAsia="仿宋_GB2312" w:cs="仿宋_GB2312"/>
          <w:sz w:val="32"/>
          <w:szCs w:val="32"/>
          <w:lang w:val="en-US" w:eastAsia="zh-CN"/>
        </w:rPr>
        <w:t>生产企业须公开《“二检合一”诚信计量承诺书》，严格履行承诺。对经确认计量失准的表具，</w:t>
      </w:r>
      <w:r>
        <w:rPr>
          <w:rFonts w:hint="default" w:ascii="仿宋_GB2312" w:hAnsi="仿宋_GB2312" w:eastAsia="仿宋_GB2312" w:cs="仿宋_GB2312"/>
          <w:sz w:val="32"/>
          <w:szCs w:val="32"/>
          <w:highlight w:val="none"/>
          <w:lang w:val="en-US" w:eastAsia="zh-CN"/>
        </w:rPr>
        <w:t>先行退货或更换</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Nimbus Roman" w:hAnsi="Nimbus Roman" w:eastAsia="仿宋_GB2312" w:cs="Nimbus Roman"/>
          <w:sz w:val="32"/>
          <w:szCs w:val="32"/>
          <w:lang w:val="en-US" w:eastAsia="zh-CN"/>
        </w:rPr>
        <w:t>2.</w:t>
      </w:r>
      <w:r>
        <w:rPr>
          <w:rFonts w:hint="default" w:ascii="Nimbus Roman" w:hAnsi="Nimbus Roman" w:eastAsia="仿宋_GB2312" w:cs="Nimbus Roman"/>
          <w:sz w:val="32"/>
          <w:szCs w:val="32"/>
          <w:lang w:val="en" w:eastAsia="zh-CN"/>
        </w:rPr>
        <w:t xml:space="preserve"> </w:t>
      </w:r>
      <w:r>
        <w:rPr>
          <w:rFonts w:hint="eastAsia" w:ascii="楷体_GB2312" w:hAnsi="楷体_GB2312" w:eastAsia="楷体_GB2312" w:cs="楷体_GB2312"/>
          <w:sz w:val="32"/>
          <w:szCs w:val="32"/>
          <w:lang w:val="en-US" w:eastAsia="zh-CN"/>
        </w:rPr>
        <w:t>投诉处理联动。</w:t>
      </w:r>
      <w:r>
        <w:rPr>
          <w:rFonts w:hint="eastAsia" w:ascii="Nimbus Roman" w:hAnsi="Nimbus Roman" w:eastAsia="仿宋_GB2312" w:cs="Nimbus Roman"/>
          <w:sz w:val="32"/>
          <w:szCs w:val="32"/>
          <w:lang w:val="en-US" w:eastAsia="zh-CN"/>
        </w:rPr>
        <w:t>畅通</w:t>
      </w:r>
      <w:r>
        <w:rPr>
          <w:rFonts w:hint="eastAsia" w:ascii="仿宋_GB2312" w:hAnsi="仿宋_GB2312" w:eastAsia="仿宋_GB2312" w:cs="仿宋_GB2312"/>
          <w:sz w:val="32"/>
          <w:szCs w:val="32"/>
          <w:lang w:val="en-US" w:eastAsia="zh-CN"/>
        </w:rPr>
        <w:t>12315投诉渠道，市场</w:t>
      </w:r>
      <w:r>
        <w:rPr>
          <w:rFonts w:hint="eastAsia" w:ascii="Nimbus Roman" w:hAnsi="Nimbus Roman" w:eastAsia="仿宋_GB2312" w:cs="Nimbus Roman"/>
          <w:sz w:val="32"/>
          <w:szCs w:val="32"/>
          <w:lang w:val="en-US" w:eastAsia="zh-CN"/>
        </w:rPr>
        <w:t>监管部门接到投诉后，及时组织法定计量技术机构</w:t>
      </w:r>
      <w:r>
        <w:rPr>
          <w:rFonts w:hint="eastAsia" w:ascii="华文仿宋" w:hAnsi="华文仿宋" w:eastAsia="华文仿宋" w:cs="华文仿宋"/>
          <w:sz w:val="32"/>
          <w:szCs w:val="32"/>
          <w:lang w:val="en-US" w:eastAsia="zh-CN"/>
        </w:rPr>
        <w:t>复核，并督促生产企业限期落实救济责任。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lang w:val="en-US" w:eastAsia="zh-CN"/>
        </w:rPr>
        <w:t>3.</w:t>
      </w:r>
      <w:r>
        <w:rPr>
          <w:rFonts w:hint="default" w:ascii="Nimbus Roman" w:hAnsi="Nimbus Roman" w:eastAsia="仿宋_GB2312" w:cs="Nimbus Roman"/>
          <w:sz w:val="32"/>
          <w:szCs w:val="32"/>
          <w:lang w:val="en" w:eastAsia="zh-CN"/>
        </w:rPr>
        <w:t xml:space="preserve"> </w:t>
      </w:r>
      <w:r>
        <w:rPr>
          <w:rFonts w:hint="eastAsia" w:ascii="楷体_GB2312" w:hAnsi="楷体_GB2312" w:eastAsia="楷体_GB2312" w:cs="楷体_GB2312"/>
          <w:sz w:val="32"/>
          <w:szCs w:val="32"/>
          <w:lang w:val="en-US" w:eastAsia="zh-CN"/>
        </w:rPr>
        <w:t>创新保障措施。</w:t>
      </w:r>
      <w:r>
        <w:rPr>
          <w:rFonts w:hint="eastAsia" w:ascii="Nimbus Roman" w:hAnsi="Nimbus Roman" w:eastAsia="仿宋_GB2312" w:cs="Nimbus Roman"/>
          <w:sz w:val="32"/>
          <w:szCs w:val="32"/>
          <w:lang w:val="en-US" w:eastAsia="zh-CN"/>
        </w:rPr>
        <w:t>鼓励企业购买计量器具失准责任保险，探索设立行业风险救济基金，提升风险抵御和消费者权益保障能力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（一）加强组织领导，压实各方责任</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Nimbus Roman" w:hAnsi="Nimbus Roman" w:eastAsia="仿宋_GB2312" w:cs="Nimbus Roman"/>
          <w:color w:val="000000"/>
          <w:sz w:val="32"/>
          <w:szCs w:val="32"/>
          <w:lang w:val="en-US" w:eastAsia="zh-CN"/>
        </w:rPr>
        <w:t>1.</w:t>
      </w:r>
      <w:r>
        <w:rPr>
          <w:rFonts w:hint="default" w:ascii="Nimbus Roman" w:hAnsi="Nimbus Roman" w:eastAsia="仿宋_GB2312" w:cs="Nimbus Roman"/>
          <w:color w:val="000000"/>
          <w:sz w:val="32"/>
          <w:szCs w:val="32"/>
          <w:lang w:val="en" w:eastAsia="zh-CN"/>
        </w:rPr>
        <w:t xml:space="preserve"> </w:t>
      </w:r>
      <w:r>
        <w:rPr>
          <w:rFonts w:hint="eastAsia" w:ascii="楷体_GB2312" w:hAnsi="楷体_GB2312" w:eastAsia="楷体_GB2312" w:cs="楷体_GB2312"/>
          <w:sz w:val="32"/>
          <w:szCs w:val="32"/>
          <w:lang w:val="en-US" w:eastAsia="zh-CN"/>
        </w:rPr>
        <w:t>组织保障。</w:t>
      </w:r>
      <w:r>
        <w:rPr>
          <w:rFonts w:hint="eastAsia" w:ascii="仿宋_GB2312" w:hAnsi="仿宋_GB2312" w:eastAsia="仿宋_GB2312" w:cs="仿宋_GB2312"/>
          <w:color w:val="000000"/>
          <w:sz w:val="32"/>
          <w:szCs w:val="32"/>
          <w:lang w:val="en-US" w:eastAsia="zh-CN"/>
        </w:rPr>
        <w:t>省局通过日常沟通、工作例会等制度，动态掌握改革进展，及时协调解决推进中的重大问题，确保全省“一盘棋”、各级履责到位。各地要进一步提高政治站位，强化担当作为，鼓励相关单位积极参与，明确责任分工，加大资源投入，保障改革措施落地见效，推动计量服务提质增效，助力营商环境持续优化</w:t>
      </w:r>
      <w:r>
        <w:rPr>
          <w:rFonts w:hint="eastAsia" w:ascii="仿宋_GB2312" w:hAnsi="仿宋_GB2312" w:eastAsia="仿宋_GB2312" w:cs="仿宋_GB2312"/>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Nimbus Roman" w:hAnsi="Nimbus Roman" w:eastAsia="仿宋_GB2312" w:cs="Nimbus Roman"/>
          <w:color w:val="000000"/>
          <w:sz w:val="32"/>
          <w:szCs w:val="32"/>
          <w:highlight w:val="none"/>
          <w:lang w:val="en-US" w:eastAsia="zh-CN"/>
        </w:rPr>
        <w:t>2.</w:t>
      </w:r>
      <w:r>
        <w:rPr>
          <w:rFonts w:hint="default" w:ascii="Nimbus Roman" w:hAnsi="Nimbus Roman" w:eastAsia="仿宋_GB2312" w:cs="Nimbus Roman"/>
          <w:color w:val="000000"/>
          <w:sz w:val="32"/>
          <w:szCs w:val="32"/>
          <w:highlight w:val="none"/>
          <w:lang w:val="en" w:eastAsia="zh-CN"/>
        </w:rPr>
        <w:t xml:space="preserve"> </w:t>
      </w:r>
      <w:r>
        <w:rPr>
          <w:rFonts w:hint="eastAsia" w:ascii="楷体_GB2312" w:hAnsi="楷体_GB2312" w:eastAsia="楷体_GB2312" w:cs="楷体_GB2312"/>
          <w:sz w:val="32"/>
          <w:szCs w:val="32"/>
          <w:highlight w:val="none"/>
          <w:lang w:val="en-US" w:eastAsia="zh-CN"/>
        </w:rPr>
        <w:t>层级职责。</w:t>
      </w:r>
      <w:r>
        <w:rPr>
          <w:rFonts w:hint="eastAsia" w:ascii="仿宋_GB2312" w:hAnsi="仿宋_GB2312" w:eastAsia="仿宋_GB2312" w:cs="仿宋_GB2312"/>
          <w:color w:val="000000"/>
          <w:sz w:val="32"/>
          <w:szCs w:val="32"/>
          <w:highlight w:val="none"/>
          <w:lang w:eastAsia="zh-CN"/>
        </w:rPr>
        <w:t>省局负责试点方案及配套制度的制定与解释，监管专项计量授权工作，统筹省级信息化平台建设与维护，对全省试点工作进行指导、协调和考核；市局负责初审、推荐企业申请材料，组织实施试点企业安装前监督抽样检定，确认验收备案，处理失准投诉，并定期向省局报告试点情况；县（区）局负责配合市局开展日常监管，重点对供水、供气经营单位的安装使用环节进行现场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（二）强化协同保障，形成工作合力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Nimbus Roman" w:hAnsi="Nimbus Roman" w:eastAsia="仿宋_GB2312" w:cs="Nimbus Roman"/>
          <w:color w:val="000000"/>
          <w:sz w:val="32"/>
          <w:szCs w:val="32"/>
          <w:lang w:val="en-US" w:eastAsia="zh-CN"/>
        </w:rPr>
        <w:t>1.</w:t>
      </w:r>
      <w:r>
        <w:rPr>
          <w:rFonts w:hint="default" w:ascii="Nimbus Roman" w:hAnsi="Nimbus Roman" w:eastAsia="仿宋_GB2312" w:cs="Nimbus Roman"/>
          <w:color w:val="000000"/>
          <w:sz w:val="32"/>
          <w:szCs w:val="32"/>
          <w:lang w:val="en" w:eastAsia="zh-CN"/>
        </w:rPr>
        <w:t xml:space="preserve"> </w:t>
      </w:r>
      <w:r>
        <w:rPr>
          <w:rFonts w:hint="eastAsia" w:ascii="楷体_GB2312" w:hAnsi="楷体_GB2312" w:eastAsia="楷体_GB2312" w:cs="楷体_GB2312"/>
          <w:sz w:val="32"/>
          <w:szCs w:val="32"/>
          <w:lang w:val="en-US" w:eastAsia="zh-CN"/>
        </w:rPr>
        <w:t>部门协同。</w:t>
      </w:r>
      <w:r>
        <w:rPr>
          <w:rFonts w:hint="eastAsia" w:ascii="仿宋_GB2312" w:hAnsi="仿宋_GB2312" w:eastAsia="仿宋_GB2312" w:cs="仿宋_GB2312"/>
          <w:color w:val="000000"/>
          <w:sz w:val="32"/>
          <w:szCs w:val="32"/>
          <w:lang w:val="en-US" w:eastAsia="zh-CN"/>
        </w:rPr>
        <w:t>省局加强与省发展改革委、工业和信息化厅、住房城乡建设厅等部门的沟通协作，联合推动供水、供气行业全面采信“二检合一”检定结果，协同清理企业在市场开拓、工程招标等环节可能遇到的政策障碍，形成改革联动效应</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Nimbus Roman" w:hAnsi="Nimbus Roman" w:eastAsia="仿宋_GB2312" w:cs="Nimbus Roman"/>
          <w:color w:val="000000"/>
          <w:sz w:val="32"/>
          <w:szCs w:val="32"/>
          <w:lang w:val="en-US" w:eastAsia="zh-CN"/>
        </w:rPr>
        <w:t>2.</w:t>
      </w:r>
      <w:r>
        <w:rPr>
          <w:rFonts w:hint="default" w:ascii="Nimbus Roman" w:hAnsi="Nimbus Roman" w:eastAsia="仿宋_GB2312" w:cs="Nimbus Roman"/>
          <w:color w:val="000000"/>
          <w:sz w:val="32"/>
          <w:szCs w:val="32"/>
          <w:lang w:val="en" w:eastAsia="zh-CN"/>
        </w:rPr>
        <w:t xml:space="preserve"> </w:t>
      </w:r>
      <w:r>
        <w:rPr>
          <w:rFonts w:hint="eastAsia" w:ascii="楷体_GB2312" w:hAnsi="楷体_GB2312" w:eastAsia="楷体_GB2312" w:cs="楷体_GB2312"/>
          <w:sz w:val="32"/>
          <w:szCs w:val="32"/>
          <w:lang w:val="en-US" w:eastAsia="zh-CN"/>
        </w:rPr>
        <w:t>技术协同。</w:t>
      </w:r>
      <w:r>
        <w:rPr>
          <w:rFonts w:hint="eastAsia" w:ascii="仿宋_GB2312" w:hAnsi="仿宋_GB2312" w:eastAsia="仿宋_GB2312" w:cs="仿宋_GB2312"/>
          <w:color w:val="000000"/>
          <w:sz w:val="32"/>
          <w:szCs w:val="32"/>
          <w:lang w:val="en-US" w:eastAsia="zh-CN"/>
        </w:rPr>
        <w:t>省计量科学研究院组建专家技术团队，对试点企业实行“一对一”精准帮扶，负责计量标准建标、管理体系运行、检定技术提升等全流程技术指导，并承担监督抽样检定的技术仲裁；同步设立“二检合一”项目组，深入调研省平台业务需求，制定系统全流程实施方案，确保省平台与试点企业顺利对接，与省政务服务网、省信用信息共享平台数据互通，为联动监管和信用惩戒提供坚实技术支撑</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三）完善监管保障，守住安全底线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Nimbus Roman" w:hAnsi="Nimbus Roman" w:eastAsia="仿宋_GB2312" w:cs="Nimbus Roman"/>
          <w:color w:val="000000"/>
          <w:sz w:val="32"/>
          <w:szCs w:val="32"/>
          <w:highlight w:val="none"/>
          <w:lang w:val="en-US" w:eastAsia="zh-CN"/>
        </w:rPr>
        <w:t>1.</w:t>
      </w:r>
      <w:r>
        <w:rPr>
          <w:rFonts w:hint="default" w:ascii="Nimbus Roman" w:hAnsi="Nimbus Roman" w:eastAsia="仿宋_GB2312" w:cs="Nimbus Roman"/>
          <w:color w:val="000000"/>
          <w:sz w:val="32"/>
          <w:szCs w:val="32"/>
          <w:highlight w:val="none"/>
          <w:lang w:val="en" w:eastAsia="zh-CN"/>
        </w:rPr>
        <w:t xml:space="preserve"> </w:t>
      </w:r>
      <w:r>
        <w:rPr>
          <w:rFonts w:hint="eastAsia" w:ascii="楷体_GB2312" w:hAnsi="楷体_GB2312" w:eastAsia="楷体_GB2312" w:cs="楷体_GB2312"/>
          <w:sz w:val="32"/>
          <w:szCs w:val="32"/>
          <w:highlight w:val="none"/>
          <w:lang w:val="en-US" w:eastAsia="zh-CN"/>
        </w:rPr>
        <w:t>分级分类监管。</w:t>
      </w:r>
      <w:r>
        <w:rPr>
          <w:rFonts w:hint="eastAsia" w:ascii="仿宋_GB2312" w:hAnsi="仿宋_GB2312" w:eastAsia="仿宋_GB2312" w:cs="仿宋_GB2312"/>
          <w:sz w:val="32"/>
          <w:szCs w:val="32"/>
          <w:lang w:val="en-US" w:eastAsia="zh-CN"/>
        </w:rPr>
        <w:t>依托企业信用风险分类结果和“二检合一”专项信用信息，对试点企业实施分级分类监管。对信用良好、风险较低的试点企业，合理降低监督抽查频次；对信用较差、风险较高的企业，列入重点监管对象，加大监督抽查密度和检查力度，实现精准监管、无事不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Nimbus Roman" w:hAnsi="Nimbus Roman" w:eastAsia="仿宋_GB2312" w:cs="Nimbus Roman"/>
          <w:color w:val="000000"/>
          <w:sz w:val="32"/>
          <w:szCs w:val="32"/>
          <w:lang w:val="en-US" w:eastAsia="zh-CN"/>
        </w:rPr>
        <w:t>2.</w:t>
      </w:r>
      <w:r>
        <w:rPr>
          <w:rFonts w:hint="default" w:ascii="Nimbus Roman" w:hAnsi="Nimbus Roman" w:eastAsia="仿宋_GB2312" w:cs="Nimbus Roman"/>
          <w:color w:val="000000"/>
          <w:sz w:val="32"/>
          <w:szCs w:val="32"/>
          <w:lang w:val="en" w:eastAsia="zh-CN"/>
        </w:rPr>
        <w:t xml:space="preserve"> </w:t>
      </w:r>
      <w:r>
        <w:rPr>
          <w:rFonts w:hint="eastAsia" w:ascii="楷体_GB2312" w:hAnsi="楷体_GB2312" w:eastAsia="楷体_GB2312" w:cs="楷体_GB2312"/>
          <w:sz w:val="32"/>
          <w:szCs w:val="32"/>
          <w:lang w:val="en-US" w:eastAsia="zh-CN"/>
        </w:rPr>
        <w:t>强化执法联动。</w:t>
      </w:r>
      <w:r>
        <w:rPr>
          <w:rFonts w:hint="eastAsia" w:ascii="仿宋_GB2312" w:hAnsi="仿宋_GB2312" w:eastAsia="仿宋_GB2312" w:cs="仿宋_GB2312"/>
          <w:sz w:val="32"/>
          <w:szCs w:val="32"/>
          <w:lang w:val="en-US" w:eastAsia="zh-CN"/>
        </w:rPr>
        <w:t>各地要健全计量监管与综合执法快速响应机制，对伪造数据、擅自安装未经确认表具等违法行为，做到线索即收、案件即办、处罚即公开，依法从严从重查处，形成震慑效应</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）建立动态优化机制，持续完善方案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Nimbus Roman" w:hAnsi="Nimbus Roman" w:eastAsia="仿宋_GB2312" w:cs="Nimbus Roman"/>
          <w:color w:val="000000"/>
          <w:sz w:val="32"/>
          <w:szCs w:val="32"/>
          <w:lang w:val="en-US" w:eastAsia="zh-CN"/>
        </w:rPr>
        <w:t>1.</w:t>
      </w:r>
      <w:r>
        <w:rPr>
          <w:rFonts w:hint="default" w:ascii="Nimbus Roman" w:hAnsi="Nimbus Roman" w:eastAsia="仿宋_GB2312" w:cs="Nimbus Roman"/>
          <w:color w:val="000000"/>
          <w:sz w:val="32"/>
          <w:szCs w:val="32"/>
          <w:lang w:val="en" w:eastAsia="zh-CN"/>
        </w:rPr>
        <w:t xml:space="preserve"> </w:t>
      </w:r>
      <w:r>
        <w:rPr>
          <w:rFonts w:hint="eastAsia" w:ascii="楷体_GB2312" w:hAnsi="楷体_GB2312" w:eastAsia="楷体_GB2312" w:cs="楷体_GB2312"/>
          <w:sz w:val="32"/>
          <w:szCs w:val="32"/>
          <w:lang w:val="en-US" w:eastAsia="zh-CN"/>
        </w:rPr>
        <w:t>方案动态修订。</w:t>
      </w:r>
      <w:r>
        <w:rPr>
          <w:rFonts w:hint="eastAsia" w:ascii="仿宋_GB2312" w:hAnsi="仿宋_GB2312" w:eastAsia="仿宋_GB2312" w:cs="仿宋_GB2312"/>
          <w:sz w:val="32"/>
          <w:szCs w:val="32"/>
          <w:lang w:val="en-US" w:eastAsia="zh-CN"/>
        </w:rPr>
        <w:t>定期征集试点企业、供水供气经营单位、消费者等各方意见，专项工作组及时分析研判新情况、新问题，确需调整方案内容的，按程序修订完善，确保改革稳步推进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default" w:ascii="Nimbus Roman" w:hAnsi="Nimbus Roman" w:eastAsia="仿宋_GB2312" w:cs="Nimbus Roman"/>
          <w:color w:val="000000"/>
          <w:sz w:val="32"/>
          <w:szCs w:val="32"/>
          <w:lang w:val="en-US" w:eastAsia="zh-CN"/>
        </w:rPr>
        <w:t>2.</w:t>
      </w:r>
      <w:r>
        <w:rPr>
          <w:rFonts w:hint="default" w:ascii="Nimbus Roman" w:hAnsi="Nimbus Roman" w:eastAsia="仿宋_GB2312" w:cs="Nimbus Roman"/>
          <w:color w:val="000000"/>
          <w:sz w:val="32"/>
          <w:szCs w:val="32"/>
          <w:lang w:val="en" w:eastAsia="zh-CN"/>
        </w:rPr>
        <w:t xml:space="preserve"> </w:t>
      </w:r>
      <w:r>
        <w:rPr>
          <w:rFonts w:hint="eastAsia" w:ascii="楷体_GB2312" w:hAnsi="楷体_GB2312" w:eastAsia="楷体_GB2312" w:cs="楷体_GB2312"/>
          <w:sz w:val="32"/>
          <w:szCs w:val="32"/>
          <w:lang w:val="en-US" w:eastAsia="zh-CN"/>
        </w:rPr>
        <w:t>政策有序衔接。</w:t>
      </w:r>
      <w:r>
        <w:rPr>
          <w:rFonts w:hint="eastAsia" w:ascii="仿宋_GB2312" w:hAnsi="仿宋_GB2312" w:eastAsia="仿宋_GB2312" w:cs="仿宋_GB2312"/>
          <w:color w:val="000000"/>
          <w:sz w:val="32"/>
          <w:szCs w:val="32"/>
          <w:lang w:val="en-US" w:eastAsia="zh-CN"/>
        </w:rPr>
        <w:t>国家层面出台新的“二检合一”强制性规定，我省立即贯彻执行，并同步调整相关配套文件，确保上下政策一致、标准统一、执行无缝</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color w:val="FF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sz w:val="32"/>
          <w:szCs w:val="32"/>
          <w:lang w:eastAsia="zh-CN"/>
        </w:rPr>
        <w:t>附</w:t>
      </w:r>
      <w:r>
        <w:rPr>
          <w:rFonts w:hint="eastAsia" w:ascii="仿宋_GB2312" w:hAnsi="仿宋_GB2312" w:eastAsia="仿宋_GB2312" w:cs="仿宋_GB2312"/>
          <w:color w:val="000000"/>
          <w:sz w:val="32"/>
          <w:szCs w:val="32"/>
          <w:lang w:eastAsia="zh-CN"/>
        </w:rPr>
        <w:t>件：</w:t>
      </w:r>
      <w:r>
        <w:rPr>
          <w:rFonts w:hint="default" w:ascii="Nimbus Roman" w:hAnsi="Nimbus Roman" w:eastAsia="仿宋_GB2312" w:cs="Nimbus Roman"/>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华文仿宋" w:hAnsi="华文仿宋" w:eastAsia="华文仿宋" w:cs="华文仿宋"/>
          <w:color w:val="000000" w:themeColor="text1"/>
          <w:sz w:val="32"/>
          <w:szCs w:val="32"/>
          <w:lang w:eastAsia="zh-CN"/>
          <w14:textFill>
            <w14:solidFill>
              <w14:schemeClr w14:val="tx1"/>
            </w14:solidFill>
          </w14:textFill>
        </w:rPr>
        <w:t>河南</w:t>
      </w:r>
      <w:r>
        <w:rPr>
          <w:rFonts w:hint="eastAsia" w:ascii="华文仿宋" w:hAnsi="华文仿宋" w:eastAsia="华文仿宋" w:cs="华文仿宋"/>
          <w:color w:val="000000" w:themeColor="text1"/>
          <w:sz w:val="32"/>
          <w:szCs w:val="32"/>
          <w14:textFill>
            <w14:solidFill>
              <w14:schemeClr w14:val="tx1"/>
            </w14:solidFill>
          </w14:textFill>
        </w:rPr>
        <w:t>省民用水表、燃气表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安装前监督抽样检</w:t>
      </w:r>
    </w:p>
    <w:p>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定工作指引</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Nimbus Roman" w:hAnsi="Nimbus Roman" w:eastAsia="仿宋_GB2312" w:cs="Nimbus Roman"/>
          <w:color w:val="000000"/>
          <w:sz w:val="32"/>
          <w:szCs w:val="32"/>
          <w:lang w:val="en-US" w:eastAsia="zh-CN"/>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华文仿宋" w:hAnsi="华文仿宋" w:eastAsia="华文仿宋" w:cs="华文仿宋"/>
          <w:color w:val="000000" w:themeColor="text1"/>
          <w:sz w:val="32"/>
          <w:szCs w:val="32"/>
          <w:lang w:val="en" w:eastAsia="zh-CN"/>
          <w14:textFill>
            <w14:solidFill>
              <w14:schemeClr w14:val="tx1"/>
            </w14:solidFill>
          </w14:textFill>
        </w:rPr>
        <w:t>河南省</w:t>
      </w:r>
      <w:r>
        <w:rPr>
          <w:rFonts w:hint="eastAsia" w:ascii="华文仿宋" w:hAnsi="华文仿宋" w:eastAsia="华文仿宋" w:cs="华文仿宋"/>
          <w:color w:val="000000" w:themeColor="text1"/>
          <w:sz w:val="32"/>
          <w:szCs w:val="32"/>
          <w14:textFill>
            <w14:solidFill>
              <w14:schemeClr w14:val="tx1"/>
            </w14:solidFill>
          </w14:textFill>
        </w:rPr>
        <w:t>民用水表、燃气表生产企业“二检合一”</w:t>
      </w:r>
      <w:r>
        <w:rPr>
          <w:rFonts w:hint="eastAsia" w:ascii="华文仿宋" w:hAnsi="华文仿宋" w:eastAsia="华文仿宋" w:cs="华文仿宋"/>
          <w:color w:val="000000" w:themeColor="text1"/>
          <w:sz w:val="32"/>
          <w:szCs w:val="32"/>
          <w:lang w:eastAsia="zh-CN"/>
          <w14:textFill>
            <w14:solidFill>
              <w14:schemeClr w14:val="tx1"/>
            </w14:solidFill>
          </w14:textFill>
        </w:rPr>
        <w:t>专项</w:t>
      </w:r>
      <w:r>
        <w:rPr>
          <w:rFonts w:hint="eastAsia" w:ascii="华文仿宋" w:hAnsi="华文仿宋" w:eastAsia="华文仿宋" w:cs="华文仿宋"/>
          <w:color w:val="000000" w:themeColor="text1"/>
          <w:sz w:val="32"/>
          <w:szCs w:val="32"/>
          <w14:textFill>
            <w14:solidFill>
              <w14:schemeClr w14:val="tx1"/>
            </w14:solidFill>
          </w14:textFill>
        </w:rPr>
        <w:t>计量授权考核细则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firstLine="1600" w:firstLineChars="500"/>
        <w:jc w:val="both"/>
        <w:textAlignment w:val="auto"/>
        <w:rPr>
          <w:rFonts w:hint="eastAsia" w:ascii="仿宋_GB2312" w:hAnsi="仿宋_GB2312" w:eastAsia="仿宋_GB2312" w:cs="仿宋_GB2312"/>
          <w:sz w:val="32"/>
          <w:szCs w:val="32"/>
        </w:rPr>
      </w:pPr>
      <w:r>
        <w:rPr>
          <w:rFonts w:hint="default" w:ascii="Nimbus Roman" w:hAnsi="Nimbus Roman" w:eastAsia="仿宋_GB2312" w:cs="Nimbus Roman"/>
          <w:sz w:val="32"/>
          <w:szCs w:val="32"/>
          <w:lang w:val="en-US" w:eastAsia="zh-CN"/>
        </w:rPr>
        <w:t>3.</w:t>
      </w:r>
      <w:r>
        <w:rPr>
          <w:rFonts w:hint="eastAsia" w:ascii="仿宋_GB2312" w:hAnsi="仿宋_GB2312" w:eastAsia="仿宋_GB2312" w:cs="仿宋_GB2312"/>
          <w:sz w:val="32"/>
          <w:szCs w:val="32"/>
        </w:rPr>
        <w:t>《“二检合一”诚信计量承诺书》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val="0"/>
          <w:kern w:val="0"/>
          <w:sz w:val="44"/>
          <w:szCs w:val="44"/>
          <w:shd w:val="clear" w:color="auto" w:fill="FFFFFF"/>
          <w:lang w:bidi="ar"/>
        </w:rPr>
      </w:pPr>
      <w:r>
        <w:rPr>
          <w:rFonts w:hint="eastAsia" w:ascii="方正小标宋简体" w:hAnsi="方正小标宋简体" w:eastAsia="方正小标宋简体" w:cs="方正小标宋简体"/>
          <w:b w:val="0"/>
          <w:bCs w:val="0"/>
          <w:sz w:val="44"/>
          <w:szCs w:val="44"/>
        </w:rPr>
        <w:t>河南省民用水表、燃气表</w:t>
      </w:r>
      <w:r>
        <w:rPr>
          <w:rFonts w:hint="eastAsia" w:ascii="方正小标宋简体" w:hAnsi="方正小标宋简体" w:eastAsia="方正小标宋简体" w:cs="方正小标宋简体"/>
          <w:b w:val="0"/>
          <w:bCs w:val="0"/>
          <w:kern w:val="0"/>
          <w:sz w:val="44"/>
          <w:szCs w:val="44"/>
          <w:shd w:val="clear" w:color="auto" w:fill="FFFFFF"/>
          <w:lang w:bidi="ar"/>
        </w:rPr>
        <w:t>安装前</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val="0"/>
          <w:kern w:val="0"/>
          <w:sz w:val="44"/>
          <w:szCs w:val="44"/>
          <w:shd w:val="clear" w:color="auto" w:fill="FFFFFF"/>
          <w:lang w:bidi="ar"/>
        </w:rPr>
      </w:pPr>
      <w:r>
        <w:rPr>
          <w:rFonts w:hint="eastAsia" w:ascii="方正小标宋简体" w:hAnsi="方正小标宋简体" w:eastAsia="方正小标宋简体" w:cs="方正小标宋简体"/>
          <w:b w:val="0"/>
          <w:bCs w:val="0"/>
          <w:kern w:val="0"/>
          <w:sz w:val="44"/>
          <w:szCs w:val="44"/>
          <w:shd w:val="clear" w:color="auto" w:fill="FFFFFF"/>
          <w:lang w:bidi="ar"/>
        </w:rPr>
        <w:t>监督抽样检定工作指引</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指引适用于本省行政区域内，经市场监督管理部门专项计量授权、实施“出厂检定与首次强制检定合并”（以下简称“二检合一”）的生产企业，其制造并出厂检定合格的民用水表、燃气表，在安装使用前由市场监管部门组织的监督抽样检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二、抽样主体与实施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（一）组织主体：</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eastAsia="zh-CN"/>
        </w:rPr>
        <w:t>级</w:t>
      </w:r>
      <w:r>
        <w:rPr>
          <w:rFonts w:hint="eastAsia" w:ascii="仿宋_GB2312" w:hAnsi="仿宋_GB2312" w:eastAsia="仿宋_GB2312" w:cs="仿宋_GB2312"/>
          <w:b w:val="0"/>
          <w:bCs w:val="0"/>
          <w:sz w:val="32"/>
          <w:szCs w:val="32"/>
        </w:rPr>
        <w:t>市场监管部门负责组织本辖区内的</w:t>
      </w:r>
      <w:r>
        <w:rPr>
          <w:rFonts w:hint="eastAsia" w:ascii="仿宋_GB2312" w:hAnsi="仿宋_GB2312" w:eastAsia="仿宋_GB2312" w:cs="仿宋_GB2312"/>
          <w:b w:val="0"/>
          <w:bCs w:val="0"/>
          <w:sz w:val="32"/>
          <w:szCs w:val="32"/>
          <w:lang w:eastAsia="zh-CN"/>
        </w:rPr>
        <w:t>“二检合一”</w:t>
      </w:r>
      <w:r>
        <w:rPr>
          <w:rFonts w:hint="eastAsia" w:ascii="仿宋_GB2312" w:hAnsi="仿宋_GB2312" w:eastAsia="仿宋_GB2312" w:cs="仿宋_GB2312"/>
          <w:b w:val="0"/>
          <w:bCs w:val="0"/>
          <w:sz w:val="32"/>
          <w:szCs w:val="32"/>
        </w:rPr>
        <w:t>监督抽检工作。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rPr>
        <w:t>（二）实施主体：</w:t>
      </w:r>
      <w:r>
        <w:rPr>
          <w:rFonts w:hint="eastAsia" w:ascii="仿宋_GB2312" w:hAnsi="仿宋_GB2312" w:eastAsia="仿宋_GB2312" w:cs="仿宋_GB2312"/>
          <w:b w:val="0"/>
          <w:bCs w:val="0"/>
          <w:sz w:val="32"/>
          <w:szCs w:val="32"/>
        </w:rPr>
        <w:t>市局可委托具备相应资质的法定计量检定机构（以下简称“承检机构”）具体实施抽样和检定工作。承检机构名单由省局统一公布。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三、批次界定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rPr>
        <w:t>同一抽样批次应满足以下条件：同一生产企业、同一型号、同一生产批</w:t>
      </w:r>
      <w:r>
        <w:rPr>
          <w:rFonts w:hint="eastAsia" w:ascii="仿宋_GB2312" w:hAnsi="仿宋_GB2312" w:eastAsia="仿宋_GB2312" w:cs="仿宋_GB2312"/>
          <w:b w:val="0"/>
          <w:bCs w:val="0"/>
          <w:color w:val="auto"/>
          <w:sz w:val="32"/>
          <w:szCs w:val="32"/>
        </w:rPr>
        <w:t>号（或连续</w:t>
      </w:r>
      <w:r>
        <w:rPr>
          <w:rFonts w:hint="default" w:ascii="Nimbus Roman" w:hAnsi="Nimbus Roman" w:eastAsia="仿宋_GB2312" w:cs="Nimbus Roman"/>
          <w:b w:val="0"/>
          <w:bCs w:val="0"/>
          <w:color w:val="auto"/>
          <w:sz w:val="32"/>
          <w:szCs w:val="32"/>
        </w:rPr>
        <w:t>24</w:t>
      </w:r>
      <w:r>
        <w:rPr>
          <w:rFonts w:hint="eastAsia" w:ascii="仿宋_GB2312" w:hAnsi="仿宋_GB2312" w:eastAsia="仿宋_GB2312" w:cs="仿宋_GB2312"/>
          <w:b w:val="0"/>
          <w:bCs w:val="0"/>
          <w:color w:val="auto"/>
          <w:sz w:val="32"/>
          <w:szCs w:val="32"/>
        </w:rPr>
        <w:t>小时内生产）的表具。生产批号以企业</w:t>
      </w:r>
      <w:r>
        <w:rPr>
          <w:rFonts w:hint="default" w:ascii="Nimbus Roman" w:hAnsi="Nimbus Roman" w:eastAsia="仿宋_GB2312" w:cs="Nimbus Roman"/>
          <w:b w:val="0"/>
          <w:bCs w:val="0"/>
          <w:color w:val="auto"/>
          <w:sz w:val="32"/>
          <w:szCs w:val="32"/>
        </w:rPr>
        <w:t>ERP/MES</w:t>
      </w:r>
      <w:r>
        <w:rPr>
          <w:rFonts w:hint="eastAsia" w:ascii="仿宋_GB2312" w:hAnsi="仿宋_GB2312" w:eastAsia="仿宋_GB2312" w:cs="仿宋_GB2312"/>
          <w:b w:val="0"/>
          <w:bCs w:val="0"/>
          <w:color w:val="auto"/>
          <w:sz w:val="32"/>
          <w:szCs w:val="32"/>
        </w:rPr>
        <w:t>系统记录为准，抽样时现场核验。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、抽样方案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highlight w:val="lightGray"/>
        </w:rPr>
      </w:pPr>
      <w:r>
        <w:rPr>
          <w:rFonts w:hint="eastAsia" w:ascii="楷体_GB2312" w:hAnsi="楷体_GB2312" w:eastAsia="楷体_GB2312" w:cs="楷体_GB2312"/>
          <w:b w:val="0"/>
          <w:bCs w:val="0"/>
          <w:color w:val="auto"/>
          <w:sz w:val="32"/>
          <w:szCs w:val="32"/>
        </w:rPr>
        <w:t>（一）抽样地点。</w:t>
      </w:r>
      <w:r>
        <w:rPr>
          <w:rFonts w:hint="eastAsia" w:ascii="仿宋_GB2312" w:hAnsi="仿宋_GB2312" w:eastAsia="仿宋_GB2312" w:cs="仿宋_GB2312"/>
          <w:b w:val="0"/>
          <w:bCs w:val="0"/>
          <w:color w:val="auto"/>
          <w:sz w:val="32"/>
          <w:szCs w:val="32"/>
          <w:highlight w:val="none"/>
        </w:rPr>
        <w:t>供水、供气经营单位（以下简称“经营单位”）指定的、存放待安装表具的仓库或库区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抽样应在该指定库内已报备批次的合格品中随机进行。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rPr>
        <w:t>（二）抽样</w:t>
      </w:r>
      <w:r>
        <w:rPr>
          <w:rFonts w:hint="eastAsia" w:ascii="楷体_GB2312" w:hAnsi="楷体_GB2312" w:eastAsia="楷体_GB2312" w:cs="楷体_GB2312"/>
          <w:b w:val="0"/>
          <w:bCs w:val="0"/>
          <w:color w:val="auto"/>
          <w:sz w:val="32"/>
          <w:szCs w:val="32"/>
          <w:highlight w:val="none"/>
          <w:lang w:eastAsia="zh-CN"/>
        </w:rPr>
        <w:t>批次与</w:t>
      </w:r>
      <w:r>
        <w:rPr>
          <w:rFonts w:hint="eastAsia" w:ascii="楷体_GB2312" w:hAnsi="楷体_GB2312" w:eastAsia="楷体_GB2312" w:cs="楷体_GB2312"/>
          <w:b w:val="0"/>
          <w:bCs w:val="0"/>
          <w:color w:val="auto"/>
          <w:sz w:val="32"/>
          <w:szCs w:val="32"/>
        </w:rPr>
        <w:t>基数。</w:t>
      </w:r>
      <w:r>
        <w:rPr>
          <w:rFonts w:hint="eastAsia" w:ascii="仿宋_GB2312" w:hAnsi="仿宋_GB2312" w:eastAsia="仿宋_GB2312" w:cs="仿宋_GB2312"/>
          <w:b w:val="0"/>
          <w:bCs w:val="0"/>
          <w:color w:val="auto"/>
          <w:sz w:val="32"/>
          <w:szCs w:val="32"/>
        </w:rPr>
        <w:t>以同一批次报备至</w:t>
      </w:r>
      <w:r>
        <w:rPr>
          <w:rFonts w:hint="eastAsia" w:ascii="仿宋_GB2312" w:hAnsi="仿宋_GB2312" w:eastAsia="仿宋_GB2312" w:cs="仿宋_GB2312"/>
          <w:b w:val="0"/>
          <w:bCs w:val="0"/>
          <w:color w:val="auto"/>
          <w:sz w:val="32"/>
          <w:szCs w:val="32"/>
          <w:highlight w:val="none"/>
        </w:rPr>
        <w:t>“河南省智慧计量监管平台”（以下简称“省平台”）的表具</w:t>
      </w:r>
      <w:r>
        <w:rPr>
          <w:rFonts w:hint="eastAsia" w:ascii="仿宋_GB2312" w:hAnsi="仿宋_GB2312" w:eastAsia="仿宋_GB2312" w:cs="仿宋_GB2312"/>
          <w:b w:val="0"/>
          <w:bCs w:val="0"/>
          <w:color w:val="auto"/>
          <w:sz w:val="32"/>
          <w:szCs w:val="32"/>
        </w:rPr>
        <w:t>总量</w:t>
      </w:r>
      <w:r>
        <w:rPr>
          <w:rFonts w:hint="eastAsia" w:ascii="仿宋_GB2312" w:hAnsi="仿宋_GB2312" w:eastAsia="仿宋_GB2312" w:cs="仿宋_GB2312"/>
          <w:b w:val="0"/>
          <w:bCs w:val="0"/>
          <w:color w:val="auto"/>
          <w:sz w:val="32"/>
          <w:szCs w:val="32"/>
          <w:highlight w:val="none"/>
          <w:lang w:eastAsia="zh-CN"/>
        </w:rPr>
        <w:t>构成一个抽样批次，其数量即</w:t>
      </w:r>
      <w:r>
        <w:rPr>
          <w:rFonts w:hint="eastAsia" w:ascii="仿宋_GB2312" w:hAnsi="仿宋_GB2312" w:eastAsia="仿宋_GB2312" w:cs="仿宋_GB2312"/>
          <w:b w:val="0"/>
          <w:bCs w:val="0"/>
          <w:color w:val="auto"/>
          <w:sz w:val="32"/>
          <w:szCs w:val="32"/>
          <w:highlight w:val="none"/>
        </w:rPr>
        <w:t>为抽样基数。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FF0000"/>
          <w:sz w:val="32"/>
          <w:szCs w:val="32"/>
        </w:rPr>
      </w:pPr>
      <w:r>
        <w:rPr>
          <w:rFonts w:hint="eastAsia" w:ascii="楷体_GB2312" w:hAnsi="楷体_GB2312" w:eastAsia="楷体_GB2312" w:cs="楷体_GB2312"/>
          <w:b w:val="0"/>
          <w:bCs w:val="0"/>
          <w:color w:val="auto"/>
          <w:sz w:val="32"/>
          <w:szCs w:val="32"/>
        </w:rPr>
        <w:t>（三）抽样比例与数量。</w:t>
      </w:r>
      <w:r>
        <w:rPr>
          <w:rFonts w:hint="eastAsia" w:ascii="仿宋_GB2312" w:hAnsi="仿宋_GB2312" w:eastAsia="仿宋_GB2312" w:cs="仿宋_GB2312"/>
          <w:b w:val="0"/>
          <w:bCs w:val="0"/>
          <w:color w:val="auto"/>
          <w:sz w:val="32"/>
          <w:szCs w:val="32"/>
          <w:lang w:val="en-US" w:eastAsia="zh-CN"/>
        </w:rPr>
        <w:t>同一批次按</w:t>
      </w:r>
      <w:r>
        <w:rPr>
          <w:rFonts w:hint="default" w:ascii="Nimbus Roman" w:hAnsi="Nimbus Roman" w:eastAsia="仿宋_GB2312" w:cs="Nimbus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比</w:t>
      </w:r>
      <w:r>
        <w:rPr>
          <w:rFonts w:hint="eastAsia" w:ascii="仿宋_GB2312" w:hAnsi="仿宋_GB2312" w:eastAsia="仿宋_GB2312" w:cs="仿宋_GB2312"/>
          <w:b w:val="0"/>
          <w:bCs w:val="0"/>
          <w:color w:val="000000"/>
          <w:sz w:val="32"/>
          <w:szCs w:val="32"/>
          <w:lang w:val="en-US" w:eastAsia="zh-CN"/>
        </w:rPr>
        <w:t>例随机抽取</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Nimbus Roman" w:hAnsi="Nimbus Roman" w:eastAsia="仿宋_GB2312" w:cs="Nimbus Roman"/>
          <w:b w:val="0"/>
          <w:bCs w:val="0"/>
          <w:sz w:val="32"/>
          <w:szCs w:val="32"/>
        </w:rPr>
        <w:t>1.</w:t>
      </w:r>
      <w:r>
        <w:rPr>
          <w:rFonts w:hint="eastAsia" w:ascii="仿宋_GB2312" w:hAnsi="仿宋_GB2312" w:eastAsia="仿宋_GB2312" w:cs="仿宋_GB2312"/>
          <w:b w:val="0"/>
          <w:bCs w:val="0"/>
          <w:sz w:val="32"/>
          <w:szCs w:val="32"/>
        </w:rPr>
        <w:t>抽样基数</w:t>
      </w:r>
      <w:r>
        <w:rPr>
          <w:rFonts w:hint="default" w:ascii="Nimbus Roman" w:hAnsi="Nimbus Roman" w:eastAsia="仿宋_GB2312" w:cs="Nimbus Roman"/>
          <w:b w:val="0"/>
          <w:bCs w:val="0"/>
          <w:sz w:val="32"/>
          <w:szCs w:val="32"/>
        </w:rPr>
        <w:t>&lt;100</w:t>
      </w:r>
      <w:r>
        <w:rPr>
          <w:rFonts w:hint="eastAsia" w:ascii="仿宋_GB2312" w:hAnsi="仿宋_GB2312" w:eastAsia="仿宋_GB2312" w:cs="仿宋_GB2312"/>
          <w:b w:val="0"/>
          <w:bCs w:val="0"/>
          <w:sz w:val="32"/>
          <w:szCs w:val="32"/>
        </w:rPr>
        <w:t>台：固定抽取</w:t>
      </w:r>
      <w:r>
        <w:rPr>
          <w:rFonts w:hint="default" w:ascii="Nimbus Roman" w:hAnsi="Nimbus Roman" w:eastAsia="仿宋_GB2312" w:cs="Nimbus Roman"/>
          <w:b w:val="0"/>
          <w:bCs w:val="0"/>
          <w:sz w:val="32"/>
          <w:szCs w:val="32"/>
        </w:rPr>
        <w:t>3</w:t>
      </w:r>
      <w:r>
        <w:rPr>
          <w:rFonts w:hint="eastAsia" w:ascii="仿宋_GB2312" w:hAnsi="仿宋_GB2312" w:eastAsia="仿宋_GB2312" w:cs="仿宋_GB2312"/>
          <w:b w:val="0"/>
          <w:bCs w:val="0"/>
          <w:sz w:val="32"/>
          <w:szCs w:val="32"/>
        </w:rPr>
        <w:t>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Nimbus Roman" w:hAnsi="Nimbus Roman" w:eastAsia="仿宋_GB2312" w:cs="Nimbus Roman"/>
          <w:b w:val="0"/>
          <w:bCs w:val="0"/>
          <w:sz w:val="32"/>
          <w:szCs w:val="32"/>
        </w:rPr>
        <w:t>2.</w:t>
      </w:r>
      <w:r>
        <w:rPr>
          <w:rFonts w:hint="eastAsia" w:ascii="仿宋_GB2312" w:hAnsi="仿宋_GB2312" w:eastAsia="仿宋_GB2312" w:cs="仿宋_GB2312"/>
          <w:b w:val="0"/>
          <w:bCs w:val="0"/>
          <w:sz w:val="32"/>
          <w:szCs w:val="32"/>
        </w:rPr>
        <w:t>抽样基数</w:t>
      </w:r>
      <w:r>
        <w:rPr>
          <w:rFonts w:hint="default" w:ascii="Nimbus Roman" w:hAnsi="Nimbus Roman" w:eastAsia="仿宋_GB2312" w:cs="Nimbus Roman"/>
          <w:b w:val="0"/>
          <w:bCs w:val="0"/>
          <w:sz w:val="32"/>
          <w:szCs w:val="32"/>
        </w:rPr>
        <w:t>100</w:t>
      </w:r>
      <w:r>
        <w:rPr>
          <w:rFonts w:hint="default" w:ascii="Nimbus Roman" w:hAnsi="Nimbus Roman" w:eastAsia="仿宋_GB2312" w:cs="Nimbus Roman"/>
          <w:b w:val="0"/>
          <w:bCs w:val="0"/>
          <w:sz w:val="32"/>
          <w:szCs w:val="32"/>
          <w:lang w:val="en-US" w:eastAsia="zh-CN"/>
        </w:rPr>
        <w:t>-</w:t>
      </w:r>
      <w:r>
        <w:rPr>
          <w:rFonts w:hint="default" w:ascii="Nimbus Roman" w:hAnsi="Nimbus Roman" w:eastAsia="仿宋_GB2312" w:cs="Nimbus Roman"/>
          <w:b w:val="0"/>
          <w:bCs w:val="0"/>
          <w:sz w:val="32"/>
          <w:szCs w:val="32"/>
        </w:rPr>
        <w:t>1000</w:t>
      </w:r>
      <w:r>
        <w:rPr>
          <w:rFonts w:hint="eastAsia" w:ascii="仿宋_GB2312" w:hAnsi="仿宋_GB2312" w:eastAsia="仿宋_GB2312" w:cs="仿宋_GB2312"/>
          <w:b w:val="0"/>
          <w:bCs w:val="0"/>
          <w:sz w:val="32"/>
          <w:szCs w:val="32"/>
        </w:rPr>
        <w:t>台：按抽样基数的</w:t>
      </w:r>
      <w:r>
        <w:rPr>
          <w:rFonts w:hint="default" w:ascii="Nimbus Roman" w:hAnsi="Nimbus Roman" w:eastAsia="仿宋_GB2312" w:cs="Nimbus Roman"/>
          <w:b w:val="0"/>
          <w:bCs w:val="0"/>
          <w:sz w:val="32"/>
          <w:szCs w:val="32"/>
        </w:rPr>
        <w:t>3%</w:t>
      </w:r>
      <w:r>
        <w:rPr>
          <w:rFonts w:hint="eastAsia" w:ascii="仿宋_GB2312" w:hAnsi="仿宋_GB2312" w:eastAsia="仿宋_GB2312" w:cs="仿宋_GB2312"/>
          <w:b w:val="0"/>
          <w:bCs w:val="0"/>
          <w:sz w:val="32"/>
          <w:szCs w:val="32"/>
        </w:rPr>
        <w:t>比例抽取，计算结果向上取整。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Nimbus Roman" w:hAnsi="Nimbus Roman" w:eastAsia="仿宋_GB2312" w:cs="Nimbus Roman"/>
          <w:b w:val="0"/>
          <w:bCs w:val="0"/>
          <w:sz w:val="32"/>
          <w:szCs w:val="32"/>
        </w:rPr>
      </w:pPr>
      <w:r>
        <w:rPr>
          <w:rFonts w:hint="eastAsia" w:ascii="Nimbus Roman" w:hAnsi="Nimbus Roman" w:eastAsia="仿宋_GB2312" w:cs="Nimbus Roman"/>
          <w:b w:val="0"/>
          <w:bCs w:val="0"/>
          <w:sz w:val="32"/>
          <w:szCs w:val="32"/>
        </w:rPr>
        <w:t>3.</w:t>
      </w:r>
      <w:r>
        <w:rPr>
          <w:rFonts w:hint="eastAsia" w:ascii="仿宋_GB2312" w:hAnsi="仿宋_GB2312" w:eastAsia="仿宋_GB2312" w:cs="仿宋_GB2312"/>
          <w:b w:val="0"/>
          <w:bCs w:val="0"/>
          <w:sz w:val="32"/>
          <w:szCs w:val="32"/>
        </w:rPr>
        <w:t>抽样基数</w:t>
      </w:r>
      <w:r>
        <w:rPr>
          <w:rFonts w:hint="default" w:ascii="Nimbus Roman" w:hAnsi="Nimbus Roman" w:eastAsia="仿宋_GB2312" w:cs="Nimbus Roman"/>
          <w:b w:val="0"/>
          <w:bCs w:val="0"/>
          <w:sz w:val="32"/>
          <w:szCs w:val="32"/>
        </w:rPr>
        <w:t>&gt;1000</w:t>
      </w:r>
      <w:r>
        <w:rPr>
          <w:rFonts w:hint="eastAsia" w:ascii="仿宋_GB2312" w:hAnsi="仿宋_GB2312" w:eastAsia="仿宋_GB2312" w:cs="仿宋_GB2312"/>
          <w:b w:val="0"/>
          <w:bCs w:val="0"/>
          <w:sz w:val="32"/>
          <w:szCs w:val="32"/>
        </w:rPr>
        <w:t>台：以</w:t>
      </w:r>
      <w:r>
        <w:rPr>
          <w:rFonts w:hint="default" w:ascii="Nimbus Roman" w:hAnsi="Nimbus Roman" w:eastAsia="仿宋_GB2312" w:cs="Nimbus Roman"/>
          <w:b w:val="0"/>
          <w:bCs w:val="0"/>
          <w:sz w:val="32"/>
          <w:szCs w:val="32"/>
        </w:rPr>
        <w:t>1000</w:t>
      </w:r>
      <w:r>
        <w:rPr>
          <w:rFonts w:hint="eastAsia" w:ascii="仿宋_GB2312" w:hAnsi="仿宋_GB2312" w:eastAsia="仿宋_GB2312" w:cs="仿宋_GB2312"/>
          <w:b w:val="0"/>
          <w:bCs w:val="0"/>
          <w:sz w:val="32"/>
          <w:szCs w:val="32"/>
        </w:rPr>
        <w:t>台为基准固定抽取</w:t>
      </w:r>
      <w:r>
        <w:rPr>
          <w:rFonts w:hint="eastAsia" w:ascii="Nimbus Roman" w:hAnsi="Nimbus Roman" w:eastAsia="仿宋_GB2312" w:cs="Nimbus Roman"/>
          <w:b w:val="0"/>
          <w:bCs w:val="0"/>
          <w:sz w:val="32"/>
          <w:szCs w:val="32"/>
        </w:rPr>
        <w:t>30</w:t>
      </w:r>
      <w:r>
        <w:rPr>
          <w:rFonts w:hint="eastAsia" w:ascii="仿宋_GB2312" w:hAnsi="仿宋_GB2312" w:eastAsia="仿宋_GB2312" w:cs="仿宋_GB2312"/>
          <w:b w:val="0"/>
          <w:bCs w:val="0"/>
          <w:sz w:val="32"/>
          <w:szCs w:val="32"/>
        </w:rPr>
        <w:t>台，在</w:t>
      </w:r>
      <w:r>
        <w:rPr>
          <w:rFonts w:hint="eastAsia" w:ascii="Nimbus Roman" w:hAnsi="Nimbus Roman" w:eastAsia="仿宋_GB2312" w:cs="Nimbus Roman"/>
          <w:b w:val="0"/>
          <w:bCs w:val="0"/>
          <w:sz w:val="32"/>
          <w:szCs w:val="32"/>
        </w:rPr>
        <w:t>1000台基础上每增加500台增抽1台（不足500台按500台计）。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（四）抽样方法。</w:t>
      </w:r>
      <w:r>
        <w:rPr>
          <w:rFonts w:hint="eastAsia" w:ascii="仿宋_GB2312" w:hAnsi="仿宋_GB2312" w:eastAsia="仿宋_GB2312" w:cs="仿宋_GB2312"/>
          <w:b w:val="0"/>
          <w:bCs w:val="0"/>
          <w:sz w:val="32"/>
          <w:szCs w:val="32"/>
        </w:rPr>
        <w:t>采用简单随机抽样。使用省局认可的随机数生成工具现场打印抽样单，经抽样人员、被抽样经营单位代表共同签字并加盖骑缝章后生效。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（五）样品封存与运输。</w:t>
      </w:r>
      <w:r>
        <w:rPr>
          <w:rFonts w:hint="eastAsia" w:ascii="仿宋_GB2312" w:hAnsi="仿宋_GB2312" w:eastAsia="仿宋_GB2312" w:cs="仿宋_GB2312"/>
          <w:b w:val="0"/>
          <w:bCs w:val="0"/>
          <w:sz w:val="32"/>
          <w:szCs w:val="32"/>
        </w:rPr>
        <w:t>抽取的样品须加贴一次性防撕封条，</w:t>
      </w:r>
      <w:r>
        <w:rPr>
          <w:rFonts w:hint="eastAsia" w:ascii="仿宋_GB2312" w:hAnsi="仿宋_GB2312" w:eastAsia="仿宋_GB2312" w:cs="仿宋_GB2312"/>
          <w:b w:val="0"/>
          <w:bCs w:val="0"/>
          <w:spacing w:val="-6"/>
          <w:sz w:val="32"/>
          <w:szCs w:val="32"/>
        </w:rPr>
        <w:t>并使用专用抽样箱（袋）运输，确保过程可追溯，防止调包或损坏。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五、检定与判定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sz w:val="32"/>
          <w:szCs w:val="32"/>
        </w:rPr>
        <w:t>（一）检定依据。</w:t>
      </w:r>
      <w:r>
        <w:rPr>
          <w:rFonts w:hint="eastAsia" w:ascii="仿宋_GB2312" w:hAnsi="仿宋_GB2312" w:eastAsia="仿宋_GB2312" w:cs="仿宋_GB2312"/>
          <w:b w:val="0"/>
          <w:bCs w:val="0"/>
          <w:sz w:val="32"/>
          <w:szCs w:val="32"/>
        </w:rPr>
        <w:t>必须严格执行现行有效的</w:t>
      </w:r>
      <w:r>
        <w:rPr>
          <w:rFonts w:hint="default" w:ascii="Nimbus Roman" w:hAnsi="Nimbus Roman" w:eastAsia="仿宋_GB2312" w:cs="Nimbus Roman"/>
          <w:b w:val="0"/>
          <w:bCs w:val="0"/>
          <w:sz w:val="32"/>
          <w:szCs w:val="32"/>
        </w:rPr>
        <w:t>JJG 162《冷水水表》、JJG 577《膜式燃气表》、JJG 1190《超声波燃气表》及JJG 1206《热式燃气表》</w:t>
      </w:r>
      <w:r>
        <w:rPr>
          <w:rFonts w:hint="eastAsia" w:ascii="仿宋_GB2312" w:hAnsi="仿宋_GB2312" w:eastAsia="仿宋_GB2312" w:cs="仿宋_GB2312"/>
          <w:b w:val="0"/>
          <w:bCs w:val="0"/>
          <w:sz w:val="32"/>
          <w:szCs w:val="32"/>
        </w:rPr>
        <w:t>国家计量检定规程，进行全项目检定，不得减少项目、降低限值或放宽条件。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sz w:val="32"/>
          <w:szCs w:val="32"/>
        </w:rPr>
        <w:t>（二）检定时限。</w:t>
      </w:r>
      <w:r>
        <w:rPr>
          <w:rFonts w:hint="eastAsia" w:ascii="仿宋_GB2312" w:hAnsi="仿宋_GB2312" w:eastAsia="仿宋_GB2312" w:cs="仿宋_GB2312"/>
          <w:b w:val="0"/>
          <w:bCs w:val="0"/>
          <w:color w:val="auto"/>
          <w:sz w:val="32"/>
          <w:szCs w:val="32"/>
        </w:rPr>
        <w:t>承检机构须在收到样品后</w:t>
      </w:r>
      <w:r>
        <w:rPr>
          <w:rFonts w:hint="default" w:ascii="Nimbus Roman" w:hAnsi="Nimbus Roman" w:eastAsia="仿宋_GB2312" w:cs="Nimbus Roman"/>
          <w:b w:val="0"/>
          <w:bCs w:val="0"/>
          <w:color w:val="auto"/>
          <w:sz w:val="32"/>
          <w:szCs w:val="32"/>
        </w:rPr>
        <w:t>5</w:t>
      </w:r>
      <w:r>
        <w:rPr>
          <w:rFonts w:hint="eastAsia" w:ascii="仿宋_GB2312" w:hAnsi="仿宋_GB2312" w:eastAsia="仿宋_GB2312" w:cs="仿宋_GB2312"/>
          <w:b w:val="0"/>
          <w:bCs w:val="0"/>
          <w:color w:val="auto"/>
          <w:sz w:val="32"/>
          <w:szCs w:val="32"/>
        </w:rPr>
        <w:t>个工作日</w:t>
      </w:r>
      <w:r>
        <w:rPr>
          <w:rFonts w:hint="eastAsia" w:ascii="仿宋_GB2312" w:hAnsi="仿宋_GB2312" w:eastAsia="仿宋_GB2312" w:cs="仿宋_GB2312"/>
          <w:b w:val="0"/>
          <w:bCs w:val="0"/>
          <w:sz w:val="32"/>
          <w:szCs w:val="32"/>
        </w:rPr>
        <w:t>内完成检定并出具报告</w:t>
      </w:r>
      <w:r>
        <w:rPr>
          <w:rFonts w:hint="eastAsia" w:ascii="仿宋_GB2312" w:hAnsi="仿宋_GB2312" w:eastAsia="仿宋_GB2312" w:cs="仿宋_GB2312"/>
          <w:b w:val="0"/>
          <w:bCs w:val="0"/>
          <w:sz w:val="32"/>
          <w:szCs w:val="32"/>
          <w:lang w:eastAsia="zh-CN"/>
        </w:rPr>
        <w:t>；特殊情况需延期的，应报组织抽样市局书面</w:t>
      </w:r>
      <w:r>
        <w:rPr>
          <w:rFonts w:hint="eastAsia" w:ascii="仿宋_GB2312" w:hAnsi="仿宋_GB2312" w:eastAsia="仿宋_GB2312" w:cs="仿宋_GB2312"/>
          <w:b w:val="0"/>
          <w:bCs w:val="0"/>
          <w:color w:val="auto"/>
          <w:sz w:val="32"/>
          <w:szCs w:val="32"/>
          <w:lang w:eastAsia="zh-CN"/>
        </w:rPr>
        <w:t>同意</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rPr>
        <w:t>（三）结果判定。</w:t>
      </w:r>
      <w:r>
        <w:rPr>
          <w:rFonts w:hint="eastAsia" w:ascii="仿宋_GB2312" w:hAnsi="仿宋_GB2312" w:eastAsia="仿宋_GB2312" w:cs="仿宋_GB2312"/>
          <w:b w:val="0"/>
          <w:bCs w:val="0"/>
          <w:color w:val="auto"/>
          <w:sz w:val="32"/>
          <w:szCs w:val="32"/>
          <w:highlight w:val="none"/>
        </w:rPr>
        <w:t>样本中所有样品检定合格（不合格数d=0），判定该抽样批次合格；样本中出现任何不合格品（d&gt;0），判定该抽样批次不合格。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六、结果处理与信息流转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强化与</w:t>
      </w:r>
      <w:r>
        <w:rPr>
          <w:rFonts w:hint="eastAsia" w:ascii="仿宋_GB2312" w:hAnsi="仿宋_GB2312" w:eastAsia="仿宋_GB2312" w:cs="仿宋_GB2312"/>
          <w:b w:val="0"/>
          <w:bCs w:val="0"/>
          <w:color w:val="auto"/>
          <w:sz w:val="32"/>
          <w:szCs w:val="32"/>
          <w:highlight w:val="none"/>
          <w:u w:val="none"/>
          <w:lang w:eastAsia="zh-CN"/>
        </w:rPr>
        <w:t>省平台</w:t>
      </w:r>
      <w:r>
        <w:rPr>
          <w:rFonts w:hint="eastAsia" w:ascii="仿宋_GB2312" w:hAnsi="仿宋_GB2312" w:eastAsia="仿宋_GB2312" w:cs="仿宋_GB2312"/>
          <w:b w:val="0"/>
          <w:bCs w:val="0"/>
          <w:color w:val="auto"/>
          <w:sz w:val="32"/>
          <w:szCs w:val="32"/>
          <w:lang w:eastAsia="zh-CN"/>
        </w:rPr>
        <w:t>的数据联动和闭环管理，确保严格执行方案规定。监督抽样检定结果的处理与信息流转流程如下</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drawing>
          <wp:inline distT="0" distB="0" distL="114300" distR="114300">
            <wp:extent cx="5054600" cy="3639185"/>
            <wp:effectExtent l="0" t="0" r="5080" b="3175"/>
            <wp:docPr id="2" name="图片 2" descr="20251117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20251117_01"/>
                    <pic:cNvPicPr>
                      <a:picLocks noChangeAspect="true"/>
                    </pic:cNvPicPr>
                  </pic:nvPicPr>
                  <pic:blipFill>
                    <a:blip r:embed="rId5"/>
                    <a:srcRect l="4845" t="3419" r="4834" b="9879"/>
                    <a:stretch>
                      <a:fillRect/>
                    </a:stretch>
                  </pic:blipFill>
                  <pic:spPr>
                    <a:xfrm>
                      <a:off x="0" y="0"/>
                      <a:ext cx="5054600" cy="36391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方正公文黑体" w:hAnsi="方正公文黑体" w:eastAsia="方正公文黑体" w:cs="方正公文黑体"/>
          <w:b w:val="0"/>
          <w:bCs w:val="0"/>
          <w:color w:val="auto"/>
          <w:sz w:val="32"/>
          <w:szCs w:val="32"/>
          <w:highlight w:val="none"/>
          <w:lang w:eastAsia="zh-CN"/>
        </w:rPr>
      </w:pPr>
      <w:r>
        <w:rPr>
          <w:rFonts w:hint="eastAsia" w:ascii="方正公文黑体" w:hAnsi="方正公文黑体" w:eastAsia="方正公文黑体" w:cs="方正公文黑体"/>
          <w:b w:val="0"/>
          <w:bCs w:val="0"/>
          <w:color w:val="auto"/>
          <w:sz w:val="32"/>
          <w:szCs w:val="32"/>
          <w:highlight w:val="none"/>
          <w:lang w:eastAsia="zh-CN"/>
        </w:rPr>
        <w:t>流程步骤说明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检定与判定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lang w:eastAsia="zh-CN"/>
        </w:rPr>
        <w:t>承检机构</w:t>
      </w:r>
      <w:r>
        <w:rPr>
          <w:rFonts w:hint="eastAsia" w:ascii="仿宋_GB2312" w:hAnsi="仿宋_GB2312" w:eastAsia="仿宋_GB2312" w:cs="仿宋_GB2312"/>
          <w:b w:val="0"/>
          <w:bCs w:val="0"/>
          <w:color w:val="auto"/>
          <w:sz w:val="32"/>
          <w:szCs w:val="32"/>
          <w:lang w:eastAsia="zh-CN"/>
        </w:rPr>
        <w:t>完成抽样检定后，出具检定报告，明确判定该</w:t>
      </w:r>
      <w:r>
        <w:rPr>
          <w:rFonts w:hint="eastAsia" w:ascii="仿宋_GB2312" w:hAnsi="仿宋_GB2312" w:eastAsia="仿宋_GB2312" w:cs="仿宋_GB2312"/>
          <w:b w:val="0"/>
          <w:bCs w:val="0"/>
          <w:color w:val="auto"/>
          <w:sz w:val="32"/>
          <w:szCs w:val="32"/>
          <w:highlight w:val="none"/>
          <w:lang w:eastAsia="zh-CN"/>
        </w:rPr>
        <w:t>抽样批次</w:t>
      </w:r>
      <w:r>
        <w:rPr>
          <w:rFonts w:hint="eastAsia" w:ascii="仿宋_GB2312" w:hAnsi="仿宋_GB2312" w:eastAsia="仿宋_GB2312" w:cs="仿宋_GB2312"/>
          <w:b w:val="0"/>
          <w:bCs w:val="0"/>
          <w:color w:val="auto"/>
          <w:sz w:val="32"/>
          <w:szCs w:val="32"/>
          <w:lang w:eastAsia="zh-CN"/>
        </w:rPr>
        <w:t>“合格”或“不合格”。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合格批次处理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default" w:ascii="Nimbus Roman" w:hAnsi="Nimbus Roman" w:eastAsia="仿宋_GB2312" w:cs="Nimbus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highlight w:val="none"/>
          <w:lang w:eastAsia="zh-CN"/>
        </w:rPr>
        <w:t>承检机构</w:t>
      </w:r>
      <w:r>
        <w:rPr>
          <w:rFonts w:hint="eastAsia" w:ascii="仿宋_GB2312" w:hAnsi="仿宋_GB2312" w:eastAsia="仿宋_GB2312" w:cs="仿宋_GB2312"/>
          <w:b w:val="0"/>
          <w:bCs w:val="0"/>
          <w:color w:val="auto"/>
          <w:sz w:val="32"/>
          <w:szCs w:val="32"/>
          <w:lang w:eastAsia="zh-CN"/>
        </w:rPr>
        <w:t>出具《检定合格通知书》。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w:hAnsi="Nimbus Roman" w:eastAsia="仿宋_GB2312" w:cs="Nimbus Roman"/>
          <w:b w:val="0"/>
          <w:bCs w:val="0"/>
          <w:color w:val="auto"/>
          <w:sz w:val="32"/>
          <w:szCs w:val="32"/>
          <w:lang w:val="en-US" w:eastAsia="zh-CN"/>
        </w:rPr>
        <w:t xml:space="preserve">2. </w:t>
      </w:r>
      <w:r>
        <w:rPr>
          <w:rFonts w:hint="eastAsia" w:ascii="仿宋_GB2312" w:hAnsi="仿宋_GB2312" w:eastAsia="仿宋_GB2312" w:cs="仿宋_GB2312"/>
          <w:b w:val="0"/>
          <w:bCs w:val="0"/>
          <w:color w:val="auto"/>
          <w:sz w:val="32"/>
          <w:szCs w:val="32"/>
          <w:lang w:eastAsia="zh-CN"/>
        </w:rPr>
        <w:t>市级市场监管部门在收到通知书后在省平台完成确认操作。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w:hAnsi="Nimbus Roman" w:eastAsia="仿宋_GB2312" w:cs="Nimbus Roman"/>
          <w:b w:val="0"/>
          <w:bCs w:val="0"/>
          <w:color w:val="auto"/>
          <w:sz w:val="32"/>
          <w:szCs w:val="32"/>
          <w:lang w:val="en-US" w:eastAsia="zh-CN"/>
        </w:rPr>
        <w:t xml:space="preserve">3. </w:t>
      </w:r>
      <w:r>
        <w:rPr>
          <w:rFonts w:hint="eastAsia" w:ascii="仿宋_GB2312" w:hAnsi="仿宋_GB2312" w:eastAsia="仿宋_GB2312" w:cs="仿宋_GB2312"/>
          <w:b w:val="0"/>
          <w:bCs w:val="0"/>
          <w:color w:val="auto"/>
          <w:sz w:val="32"/>
          <w:szCs w:val="32"/>
          <w:lang w:eastAsia="zh-CN"/>
        </w:rPr>
        <w:t>平台确认后，该</w:t>
      </w:r>
      <w:r>
        <w:rPr>
          <w:rFonts w:hint="eastAsia" w:ascii="仿宋_GB2312" w:hAnsi="仿宋_GB2312" w:eastAsia="仿宋_GB2312" w:cs="仿宋_GB2312"/>
          <w:b w:val="0"/>
          <w:bCs w:val="0"/>
          <w:color w:val="auto"/>
          <w:sz w:val="32"/>
          <w:szCs w:val="32"/>
          <w:highlight w:val="none"/>
          <w:lang w:eastAsia="zh-CN"/>
        </w:rPr>
        <w:t>抽样批</w:t>
      </w:r>
      <w:r>
        <w:rPr>
          <w:rFonts w:hint="eastAsia" w:ascii="仿宋_GB2312" w:hAnsi="仿宋_GB2312" w:eastAsia="仿宋_GB2312" w:cs="仿宋_GB2312"/>
          <w:b w:val="0"/>
          <w:bCs w:val="0"/>
          <w:color w:val="auto"/>
          <w:sz w:val="32"/>
          <w:szCs w:val="32"/>
          <w:lang w:eastAsia="zh-CN"/>
        </w:rPr>
        <w:t>次表具准予安装使用。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不合格批次处理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w:hAnsi="Nimbus Roman" w:eastAsia="仿宋_GB2312" w:cs="Nimbus Roman"/>
          <w:b w:val="0"/>
          <w:bCs w:val="0"/>
          <w:color w:val="auto"/>
          <w:sz w:val="32"/>
          <w:szCs w:val="32"/>
          <w:lang w:val="en-US" w:eastAsia="zh-CN"/>
        </w:rPr>
        <w:t xml:space="preserve">1. </w:t>
      </w:r>
      <w:r>
        <w:rPr>
          <w:rFonts w:hint="eastAsia" w:ascii="仿宋_GB2312" w:hAnsi="仿宋_GB2312" w:eastAsia="仿宋_GB2312" w:cs="仿宋_GB2312"/>
          <w:b w:val="0"/>
          <w:bCs w:val="0"/>
          <w:color w:val="auto"/>
          <w:sz w:val="32"/>
          <w:szCs w:val="32"/>
          <w:highlight w:val="none"/>
          <w:lang w:eastAsia="zh-CN"/>
        </w:rPr>
        <w:t>承检机构</w:t>
      </w:r>
      <w:r>
        <w:rPr>
          <w:rFonts w:hint="eastAsia" w:ascii="仿宋_GB2312" w:hAnsi="仿宋_GB2312" w:eastAsia="仿宋_GB2312" w:cs="仿宋_GB2312"/>
          <w:b w:val="0"/>
          <w:bCs w:val="0"/>
          <w:color w:val="auto"/>
          <w:sz w:val="32"/>
          <w:szCs w:val="32"/>
          <w:lang w:eastAsia="zh-CN"/>
        </w:rPr>
        <w:t>出具《不合格结果通知书》。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w:hAnsi="Nimbus Roman" w:eastAsia="仿宋_GB2312" w:cs="Nimbus Roman"/>
          <w:b w:val="0"/>
          <w:bCs w:val="0"/>
          <w:color w:val="auto"/>
          <w:sz w:val="32"/>
          <w:szCs w:val="32"/>
          <w:lang w:val="en-US" w:eastAsia="zh-CN"/>
        </w:rPr>
        <w:t xml:space="preserve">2. </w:t>
      </w:r>
      <w:r>
        <w:rPr>
          <w:rFonts w:hint="eastAsia" w:ascii="仿宋_GB2312" w:hAnsi="仿宋_GB2312" w:eastAsia="仿宋_GB2312" w:cs="仿宋_GB2312"/>
          <w:b w:val="0"/>
          <w:bCs w:val="0"/>
          <w:color w:val="auto"/>
          <w:sz w:val="32"/>
          <w:szCs w:val="32"/>
          <w:lang w:eastAsia="zh-CN"/>
        </w:rPr>
        <w:t>市级市场监管部门依法向供水、供气经营单位下达《全批暂停安装通知》。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w:hAnsi="Nimbus Roman" w:eastAsia="仿宋_GB2312" w:cs="Nimbus Roman"/>
          <w:b w:val="0"/>
          <w:bCs w:val="0"/>
          <w:color w:val="auto"/>
          <w:sz w:val="32"/>
          <w:szCs w:val="32"/>
          <w:lang w:val="en-US" w:eastAsia="zh-CN"/>
        </w:rPr>
        <w:t xml:space="preserve">3. </w:t>
      </w:r>
      <w:r>
        <w:rPr>
          <w:rFonts w:hint="eastAsia" w:ascii="仿宋_GB2312" w:hAnsi="仿宋_GB2312" w:eastAsia="仿宋_GB2312" w:cs="仿宋_GB2312"/>
          <w:b w:val="0"/>
          <w:bCs w:val="0"/>
          <w:color w:val="auto"/>
          <w:sz w:val="32"/>
          <w:szCs w:val="32"/>
          <w:lang w:eastAsia="zh-CN"/>
        </w:rPr>
        <w:t>经营单位不得安装使用该</w:t>
      </w:r>
      <w:r>
        <w:rPr>
          <w:rFonts w:hint="eastAsia" w:ascii="仿宋_GB2312" w:hAnsi="仿宋_GB2312" w:eastAsia="仿宋_GB2312" w:cs="仿宋_GB2312"/>
          <w:b w:val="0"/>
          <w:bCs w:val="0"/>
          <w:color w:val="auto"/>
          <w:sz w:val="32"/>
          <w:szCs w:val="32"/>
          <w:highlight w:val="none"/>
          <w:lang w:eastAsia="zh-CN"/>
        </w:rPr>
        <w:t>抽样批次</w:t>
      </w:r>
      <w:r>
        <w:rPr>
          <w:rFonts w:hint="eastAsia" w:ascii="仿宋_GB2312" w:hAnsi="仿宋_GB2312" w:eastAsia="仿宋_GB2312" w:cs="仿宋_GB2312"/>
          <w:b w:val="0"/>
          <w:bCs w:val="0"/>
          <w:color w:val="auto"/>
          <w:sz w:val="32"/>
          <w:szCs w:val="32"/>
          <w:lang w:eastAsia="zh-CN"/>
        </w:rPr>
        <w:t>表具，并依据合同约定将全批表具退回生产企业，市场监管部门依照《计量法》《产品质量法》等规定</w:t>
      </w:r>
      <w:r>
        <w:rPr>
          <w:rFonts w:hint="eastAsia" w:ascii="仿宋_GB2312" w:hAnsi="仿宋_GB2312" w:eastAsia="仿宋_GB2312" w:cs="仿宋_GB2312"/>
          <w:color w:val="auto"/>
          <w:sz w:val="32"/>
          <w:szCs w:val="32"/>
          <w:highlight w:val="none"/>
          <w:lang w:eastAsia="zh-CN"/>
        </w:rPr>
        <w:t>对生产企业</w:t>
      </w:r>
      <w:r>
        <w:rPr>
          <w:rFonts w:hint="eastAsia" w:ascii="仿宋_GB2312" w:hAnsi="仿宋_GB2312" w:eastAsia="仿宋_GB2312" w:cs="仿宋_GB2312"/>
          <w:b w:val="0"/>
          <w:bCs w:val="0"/>
          <w:color w:val="auto"/>
          <w:sz w:val="32"/>
          <w:szCs w:val="32"/>
          <w:lang w:eastAsia="zh-CN"/>
        </w:rPr>
        <w:t>进行处理。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w:hAnsi="Nimbus Roman" w:eastAsia="仿宋_GB2312" w:cs="Nimbus Roman"/>
          <w:b w:val="0"/>
          <w:bCs w:val="0"/>
          <w:color w:val="auto"/>
          <w:sz w:val="32"/>
          <w:szCs w:val="32"/>
          <w:lang w:val="en-US" w:eastAsia="zh-CN"/>
        </w:rPr>
        <w:t xml:space="preserve">4. </w:t>
      </w:r>
      <w:r>
        <w:rPr>
          <w:rFonts w:hint="eastAsia" w:ascii="仿宋_GB2312" w:hAnsi="仿宋_GB2312" w:eastAsia="仿宋_GB2312" w:cs="仿宋_GB2312"/>
          <w:b w:val="0"/>
          <w:bCs w:val="0"/>
          <w:color w:val="auto"/>
          <w:sz w:val="32"/>
          <w:szCs w:val="32"/>
          <w:lang w:eastAsia="zh-CN"/>
        </w:rPr>
        <w:t>不合格结果记入试点企业“二检合一”专项信用档案，并作为信用信息向社会公开。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lang w:eastAsia="zh-CN"/>
        </w:rPr>
        <w:t>七、文书样式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《检定合格通知书》、《不合格结果通知书》、《全批暂停安装通知》的统一样式由省市场监督管理局另行制定并发布。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八、时限与责任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eastAsia="zh-CN"/>
        </w:rPr>
        <w:t>承检机构对检定结果真实性、准确性负全责，发现违法线索应立即报告组织抽样的市局。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市局在收到承检机构出具的通知书后，应在</w:t>
      </w:r>
      <w:r>
        <w:rPr>
          <w:rFonts w:hint="default" w:ascii="Nimbus Roman" w:hAnsi="Nimbus Roman" w:eastAsia="仿宋_GB2312" w:cs="Nimbus Roman"/>
          <w:b w:val="0"/>
          <w:bCs w:val="0"/>
          <w:color w:val="auto"/>
          <w:sz w:val="32"/>
          <w:szCs w:val="32"/>
        </w:rPr>
        <w:t>2</w:t>
      </w:r>
      <w:r>
        <w:rPr>
          <w:rFonts w:hint="eastAsia" w:ascii="仿宋_GB2312" w:hAnsi="仿宋_GB2312" w:eastAsia="仿宋_GB2312" w:cs="仿宋_GB2312"/>
          <w:b w:val="0"/>
          <w:bCs w:val="0"/>
          <w:color w:val="auto"/>
          <w:sz w:val="32"/>
          <w:szCs w:val="32"/>
        </w:rPr>
        <w:t>个工作日内在省平台完成确认操作。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经营单位擅自安装未经平台确认的表具，将依法依规查处并公开信用记录。</w:t>
      </w:r>
    </w:p>
    <w:p>
      <w:p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br w:type="page"/>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eastAsia="zh-CN"/>
        </w:rPr>
        <w:t>河南省</w:t>
      </w:r>
      <w:r>
        <w:rPr>
          <w:rFonts w:hint="eastAsia" w:ascii="方正小标宋简体" w:hAnsi="方正小标宋简体" w:eastAsia="方正小标宋简体" w:cs="方正小标宋简体"/>
          <w:sz w:val="44"/>
          <w:szCs w:val="44"/>
        </w:rPr>
        <w:t>民用水表、燃气表生产企业</w:t>
      </w:r>
    </w:p>
    <w:p>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“二检合一”</w:t>
      </w:r>
      <w:r>
        <w:rPr>
          <w:rFonts w:hint="eastAsia" w:ascii="方正小标宋简体" w:hAnsi="方正小标宋简体" w:eastAsia="方正小标宋简体" w:cs="方正小标宋简体"/>
          <w:sz w:val="44"/>
          <w:szCs w:val="44"/>
          <w:lang w:eastAsia="zh-CN"/>
        </w:rPr>
        <w:t>专项</w:t>
      </w:r>
      <w:r>
        <w:rPr>
          <w:rFonts w:hint="eastAsia" w:ascii="方正小标宋简体" w:hAnsi="方正小标宋简体" w:eastAsia="方正小标宋简体" w:cs="方正小标宋简体"/>
          <w:sz w:val="44"/>
          <w:szCs w:val="44"/>
        </w:rPr>
        <w:t>计量授权考核细则</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eastAsia="zh-CN"/>
        </w:rPr>
        <w:t>、</w:t>
      </w:r>
      <w:r>
        <w:rPr>
          <w:rFonts w:hint="eastAsia" w:ascii="黑体" w:hAnsi="黑体" w:eastAsia="黑体" w:cs="黑体"/>
          <w:sz w:val="32"/>
          <w:szCs w:val="32"/>
        </w:rPr>
        <w:t>范围</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本细则规定了</w:t>
      </w:r>
      <w:r>
        <w:rPr>
          <w:rFonts w:hint="eastAsia"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rPr>
        <w:t>省民用水表、燃气表生产企业取得政府计量行政主管部门</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计量授权进行民用水表、燃气表</w:t>
      </w:r>
      <w:bookmarkStart w:id="0" w:name="_Hlk33691843"/>
      <w:r>
        <w:rPr>
          <w:rFonts w:hint="eastAsia" w:ascii="仿宋_GB2312" w:hAnsi="仿宋_GB2312" w:eastAsia="仿宋_GB2312" w:cs="仿宋_GB2312"/>
          <w:sz w:val="32"/>
          <w:szCs w:val="32"/>
        </w:rPr>
        <w:t>“二检合一”</w:t>
      </w:r>
      <w:bookmarkEnd w:id="0"/>
      <w:r>
        <w:rPr>
          <w:rFonts w:hint="eastAsia" w:ascii="仿宋_GB2312" w:hAnsi="仿宋_GB2312" w:eastAsia="仿宋_GB2312" w:cs="仿宋_GB2312"/>
          <w:sz w:val="32"/>
          <w:szCs w:val="32"/>
        </w:rPr>
        <w:t>所必须满足的要求，以及对</w:t>
      </w:r>
      <w:r>
        <w:rPr>
          <w:rFonts w:hint="eastAsia"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rPr>
        <w:t>省民用水表、燃气表生产企业“二检合一”</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计量授权考核的程序和对考核结果评价的方法。</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本细则适用于</w:t>
      </w:r>
      <w:r>
        <w:rPr>
          <w:rFonts w:hint="eastAsia"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rPr>
        <w:t>省辖区内制造</w:t>
      </w:r>
      <w:bookmarkStart w:id="1" w:name="_Hlk33536075"/>
      <w:r>
        <w:rPr>
          <w:rFonts w:hint="eastAsia" w:ascii="仿宋_GB2312" w:hAnsi="仿宋_GB2312" w:eastAsia="仿宋_GB2312" w:cs="仿宋_GB2312"/>
          <w:sz w:val="32"/>
          <w:szCs w:val="32"/>
        </w:rPr>
        <w:t>民用水表、燃气表</w:t>
      </w:r>
      <w:bookmarkEnd w:id="1"/>
      <w:r>
        <w:rPr>
          <w:rFonts w:hint="eastAsia" w:ascii="仿宋_GB2312" w:hAnsi="仿宋_GB2312" w:eastAsia="仿宋_GB2312" w:cs="仿宋_GB2312"/>
          <w:sz w:val="32"/>
          <w:szCs w:val="32"/>
        </w:rPr>
        <w:t>的生产企业申请“二检合一”</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计量授权的考核和监督检查。</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r>
        <w:rPr>
          <w:rFonts w:hint="eastAsia" w:ascii="黑体" w:hAnsi="黑体" w:eastAsia="黑体" w:cs="黑体"/>
          <w:sz w:val="32"/>
          <w:szCs w:val="32"/>
        </w:rPr>
        <w:t>引用文件</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本细则引用了下列文件：</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JJG 162-2019</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饮用冷水水表检定规程</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Nimbus Roman" w:hAnsi="Nimbus Roman" w:eastAsia="仿宋_GB2312" w:cs="Nimbus Roman"/>
          <w:color w:val="000000" w:themeColor="text1"/>
          <w:sz w:val="32"/>
          <w:szCs w:val="32"/>
          <w14:textFill>
            <w14:solidFill>
              <w14:schemeClr w14:val="tx1"/>
            </w14:solidFill>
          </w14:textFill>
        </w:rPr>
        <w:t>JJG 577-2012</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膜式燃气表检定规程</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Nimbus Roman" w:hAnsi="Nimbus Roman" w:eastAsia="仿宋_GB2312" w:cs="Nimbus Roman"/>
          <w:color w:val="000000" w:themeColor="text1"/>
          <w:sz w:val="32"/>
          <w:szCs w:val="32"/>
          <w14:textFill>
            <w14:solidFill>
              <w14:schemeClr w14:val="tx1"/>
            </w14:solidFill>
          </w14:textFill>
        </w:rPr>
        <w:t>JJG 1190-2022</w:t>
      </w:r>
      <w:r>
        <w:rPr>
          <w:rFonts w:hint="eastAsia" w:ascii="仿宋_GB2312" w:hAnsi="仿宋_GB2312" w:eastAsia="仿宋_GB2312" w:cs="仿宋_GB2312"/>
          <w:color w:val="000000" w:themeColor="text1"/>
          <w:sz w:val="32"/>
          <w:szCs w:val="32"/>
          <w14:textFill>
            <w14:solidFill>
              <w14:schemeClr w14:val="tx1"/>
            </w14:solidFill>
          </w14:textFill>
        </w:rPr>
        <w:t xml:space="preserve">  超声波燃气表检定规程</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Nimbus Roman" w:hAnsi="Nimbus Roman" w:eastAsia="仿宋_GB2312" w:cs="Nimbus Roman"/>
          <w:color w:val="000000" w:themeColor="text1"/>
          <w:sz w:val="32"/>
          <w:szCs w:val="32"/>
          <w14:textFill>
            <w14:solidFill>
              <w14:schemeClr w14:val="tx1"/>
            </w14:solidFill>
          </w14:textFill>
        </w:rPr>
        <w:t>JJG 1206-2025</w:t>
      </w:r>
      <w:r>
        <w:rPr>
          <w:rFonts w:hint="eastAsia" w:ascii="仿宋_GB2312" w:hAnsi="仿宋_GB2312" w:eastAsia="仿宋_GB2312" w:cs="仿宋_GB2312"/>
          <w:color w:val="000000" w:themeColor="text1"/>
          <w:sz w:val="32"/>
          <w:szCs w:val="32"/>
          <w14:textFill>
            <w14:solidFill>
              <w14:schemeClr w14:val="tx1"/>
            </w14:solidFill>
          </w14:textFill>
        </w:rPr>
        <w:t xml:space="preserve">  热式燃气表检定规程</w:t>
      </w:r>
      <w:r>
        <w:rPr>
          <w:rFonts w:hint="eastAsia" w:ascii="仿宋_GB2312" w:hAnsi="仿宋_GB2312" w:eastAsia="仿宋_GB2312" w:cs="仿宋_GB2312"/>
          <w:color w:val="000000" w:themeColor="text1"/>
          <w:sz w:val="32"/>
          <w:szCs w:val="32"/>
          <w:lang w:eastAsia="zh-CN"/>
          <w14:textFill>
            <w14:solidFill>
              <w14:schemeClr w14:val="tx1"/>
            </w14:solidFill>
          </w14:textFill>
        </w:rPr>
        <w:t>（试行）</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rPr>
        <w:t>JJF 1033-</w:t>
      </w:r>
      <w:r>
        <w:rPr>
          <w:rFonts w:hint="eastAsia" w:ascii="Nimbus Roman" w:hAnsi="Nimbus Roman" w:eastAsia="仿宋_GB2312" w:cs="Nimbus Roman"/>
          <w:sz w:val="32"/>
          <w:szCs w:val="32"/>
          <w:lang w:val="en-US" w:eastAsia="zh-CN"/>
        </w:rPr>
        <w:t>2023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计量标准考核规范</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lang w:val="en-US" w:eastAsia="zh-CN"/>
        </w:rPr>
        <w:t>JJF 1069-2012</w:t>
      </w:r>
      <w:r>
        <w:rPr>
          <w:rFonts w:hint="eastAsia" w:ascii="仿宋_GB2312" w:hAnsi="仿宋_GB2312" w:eastAsia="仿宋_GB2312" w:cs="仿宋_GB2312"/>
          <w:sz w:val="32"/>
          <w:szCs w:val="32"/>
          <w:lang w:val="en-US" w:eastAsia="zh-CN"/>
        </w:rPr>
        <w:t xml:space="preserve">  法定计量检定机构考核规范</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Nimbus Roman" w:hAnsi="Nimbus Roman" w:eastAsia="仿宋_GB2312" w:cs="Nimbus Roman"/>
          <w:sz w:val="32"/>
          <w:szCs w:val="32"/>
        </w:rPr>
        <w:t>JJF （豫）1002-2013</w:t>
      </w:r>
      <w:r>
        <w:rPr>
          <w:rFonts w:hint="eastAsia" w:ascii="仿宋_GB2312" w:hAnsi="仿宋_GB2312" w:eastAsia="仿宋_GB2312" w:cs="仿宋_GB2312"/>
          <w:sz w:val="32"/>
          <w:szCs w:val="32"/>
        </w:rPr>
        <w:t xml:space="preserve">  河南省专项计量授权考核规范</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凡是注日期的引用文件，仅注日期的版本适用于本细则；凡是不注日期的引用文件，其最新版本（包括所有的修改单）适用于本细则。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3、术语和定义</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下列术语和定义适用于本细则。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“二检合一”</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w:t>
      </w:r>
      <w:r>
        <w:rPr>
          <w:rFonts w:hint="eastAsia" w:ascii="仿宋_GB2312" w:hAnsi="仿宋_GB2312" w:eastAsia="仿宋_GB2312" w:cs="仿宋_GB2312"/>
          <w:sz w:val="32"/>
          <w:szCs w:val="32"/>
        </w:rPr>
        <w:t>政府计量行政主管部门</w:t>
      </w:r>
      <w:r>
        <w:rPr>
          <w:rFonts w:hint="eastAsia" w:ascii="仿宋_GB2312" w:hAnsi="仿宋_GB2312" w:eastAsia="仿宋_GB2312" w:cs="仿宋_GB2312"/>
          <w:kern w:val="0"/>
          <w:sz w:val="32"/>
          <w:szCs w:val="32"/>
        </w:rPr>
        <w:t>计量授权的生产企业，对该企业制造的</w:t>
      </w:r>
      <w:r>
        <w:rPr>
          <w:rFonts w:hint="eastAsia" w:ascii="仿宋_GB2312" w:hAnsi="仿宋_GB2312" w:eastAsia="仿宋_GB2312" w:cs="仿宋_GB2312"/>
          <w:sz w:val="32"/>
          <w:szCs w:val="32"/>
        </w:rPr>
        <w:t>民用水表</w:t>
      </w:r>
      <w:bookmarkStart w:id="2" w:name="_Hlk34999221"/>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rPr>
        <w:t>燃气表</w:t>
      </w:r>
      <w:r>
        <w:rPr>
          <w:rFonts w:hint="eastAsia" w:ascii="仿宋_GB2312" w:hAnsi="仿宋_GB2312" w:eastAsia="仿宋_GB2312" w:cs="仿宋_GB2312"/>
          <w:kern w:val="0"/>
          <w:sz w:val="32"/>
          <w:szCs w:val="32"/>
        </w:rPr>
        <w:t>出厂时进行检定，检定合格后在安装前可不再进行首次强制检定。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以下的“检定”指的是</w:t>
      </w:r>
      <w:r>
        <w:rPr>
          <w:rFonts w:hint="eastAsia" w:ascii="仿宋_GB2312" w:hAnsi="仿宋_GB2312" w:eastAsia="仿宋_GB2312" w:cs="仿宋_GB2312"/>
          <w:sz w:val="32"/>
          <w:szCs w:val="32"/>
        </w:rPr>
        <w:t>“二检合一”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4、组织和管理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地位</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被授权企业必须是一个能独立承担法律责任的制造业实体。为了鉴别潜在的利益冲突，应界定涉及授权项目或对授权项目有影响的关键人员的职责。被授权企业还应从不同角度对出厂检定的公正性做出承诺。</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责任</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企业必须依据国家有关的计量法律、法规，以符合本细则要求的方式从事本企业生产的民用水表和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燃气表的计量检定活动，并接受政府计量行政部门的监督和管理。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基本条件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  总则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企业的管理体系应满足企业在固定设施内开展检定工作的需要。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4.3.2  基本要求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企业的管理体系应满足以下基本要求：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a）JJF</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（豫）1002-2013的4.3.2的a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、e</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b）有保护电子存储和传输结果的文件化的程序；</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c）规定对检定质量有影响的所有管理、操作、验证和核查人员的职责、权力及相互关系；</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d）由熟悉检定的方法、程序、目的和结果评价的监督人员对从事检定的人员（包括在培人员）实施有效的监督；</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4.3.3  沟通机制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（豫）1002-2013的4.3.2的 h</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5、管理体系</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总体要求</w:t>
      </w:r>
    </w:p>
    <w:p>
      <w:pPr>
        <w:keepNext w:val="0"/>
        <w:keepLines w:val="0"/>
        <w:pageBreakBefore w:val="0"/>
        <w:widowControl w:val="0"/>
        <w:kinsoku/>
        <w:wordWrap/>
        <w:overflowPunct/>
        <w:topLinePunct w:val="0"/>
        <w:autoSpaceDE/>
        <w:autoSpaceDN/>
        <w:bidi w:val="0"/>
        <w:spacing w:after="0" w:line="590" w:lineRule="exact"/>
        <w:ind w:left="0" w:right="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企业应按照本规范要求建立与其专项计量授权工作范围相适应的管理体系，能有效地组织贯彻实施，并持续改进其有效性。应有管理体系运行的工作记录。</w:t>
      </w:r>
    </w:p>
    <w:p>
      <w:pPr>
        <w:keepNext w:val="0"/>
        <w:keepLines w:val="0"/>
        <w:pageBreakBefore w:val="0"/>
        <w:widowControl w:val="0"/>
        <w:kinsoku/>
        <w:wordWrap/>
        <w:overflowPunct/>
        <w:topLinePunct w:val="0"/>
        <w:autoSpaceDE/>
        <w:autoSpaceDN/>
        <w:bidi w:val="0"/>
        <w:spacing w:after="0" w:line="590" w:lineRule="exact"/>
        <w:ind w:left="0" w:right="0"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注：企业可以依据本细则的要求建立独立的管理体系，也可与其它管理体系融合，融合的管理体系应包括本细则规定的所有要素。</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体系文件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（豫）1002-2013的5.1的与检定相关的内容适用于本条。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文件控制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（豫）1002-2013的5.2.1的与检定相关的内容适用于本条。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记录控制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（豫）1002-2013的5.2.2适用于本条。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管理评审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（豫）1002-2013的5.3适用于本条。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w:t>
      </w:r>
      <w:r>
        <w:rPr>
          <w:rFonts w:hint="eastAsia" w:ascii="黑体" w:hAnsi="黑体" w:eastAsia="黑体" w:cs="黑体"/>
          <w:sz w:val="32"/>
          <w:szCs w:val="32"/>
          <w:lang w:eastAsia="zh-CN"/>
        </w:rPr>
        <w:t>、</w:t>
      </w:r>
      <w:r>
        <w:rPr>
          <w:rFonts w:hint="eastAsia" w:ascii="黑体" w:hAnsi="黑体" w:eastAsia="黑体" w:cs="黑体"/>
          <w:sz w:val="32"/>
          <w:szCs w:val="32"/>
        </w:rPr>
        <w:t>资源配置和管理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总则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决定检定正确性和可靠性的资源有人员、设施和环境条件、测量设备以及检定方法等。企业</w:t>
      </w:r>
      <w:r>
        <w:rPr>
          <w:rFonts w:hint="eastAsia" w:ascii="仿宋_GB2312" w:hAnsi="仿宋_GB2312" w:eastAsia="仿宋_GB2312" w:cs="仿宋_GB2312"/>
          <w:sz w:val="32"/>
          <w:szCs w:val="32"/>
        </w:rPr>
        <w:t>应按《计量标准考核规范》（JJF1033-2016）的规定对所建立的计量标准进行管理，应</w:t>
      </w:r>
      <w:r>
        <w:rPr>
          <w:rFonts w:hint="eastAsia" w:ascii="仿宋_GB2312" w:hAnsi="仿宋_GB2312" w:eastAsia="仿宋_GB2312" w:cs="仿宋_GB2312"/>
          <w:kern w:val="0"/>
          <w:sz w:val="32"/>
          <w:szCs w:val="32"/>
        </w:rPr>
        <w:t>提供所开展的检定项目一览表（包括诸如项目名称、测量范围、测量不确定度或准确度等级或最大允许误差以及执行的规程等），确定并提供履行其检定任务，以及建立和改进管理体系所需要的资源。</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人员</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6.2.1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人员配备</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企业应依据工作需求，配备与其检定业务量相适应的管理、技术、监督及检定人员，应任用长期正式员工或合同制员工，应确保所有人员具备相应资质并接受有效监督，严格按照企业管理体系要求开展工作。</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人员资质</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与计量检定直接相关的人员应经过必要的培训，具备开展检定项目相关的计量基础知识、专业知识和实际操作经验。计量检定人员</w:t>
      </w:r>
      <w:r>
        <w:rPr>
          <w:rFonts w:hint="eastAsia" w:ascii="仿宋_GB2312" w:hAnsi="仿宋_GB2312" w:eastAsia="仿宋_GB2312" w:cs="仿宋_GB2312"/>
          <w:color w:val="auto"/>
          <w:sz w:val="32"/>
          <w:szCs w:val="32"/>
          <w:lang w:val="en-US" w:eastAsia="zh-CN"/>
        </w:rPr>
        <w:t>不得少于2名，</w:t>
      </w:r>
      <w:r>
        <w:rPr>
          <w:rFonts w:hint="eastAsia" w:ascii="仿宋_GB2312" w:hAnsi="仿宋_GB2312" w:eastAsia="仿宋_GB2312" w:cs="仿宋_GB2312"/>
          <w:color w:val="auto"/>
          <w:sz w:val="32"/>
          <w:szCs w:val="32"/>
        </w:rPr>
        <w:t>应取得检定项目的《注册计量师注册证》并被授权持证上岗，授权检定的主管人员应当是经考核合格的授权签字人。所有计量检定人员必须均是被授权企业的在职职工。</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6.2.3  人员培训</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JJF （豫）1002-2013的6.2.2适用于本条。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6.2.4  授权与记录</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授权专门人员签发检定证书，检定证书签发人员应具备相应项目的检定能力与资质。企业应保留所有技术人员（包括签约人员）的有关授权、能力、教育和专业资格、培训、技能和经验的记录，并包括授权和（或）能力确认的日期。这些信息应易于获取。</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6.3  设施和环境条件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（豫）1002-2013的6.3的与检定相关的内容适用于本条。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测量设备</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6.4.1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设备配置</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企业必须按</w:t>
      </w:r>
      <w:bookmarkStart w:id="3" w:name="_Hlk33688228"/>
      <w:r>
        <w:rPr>
          <w:rFonts w:hint="eastAsia" w:ascii="仿宋_GB2312" w:hAnsi="仿宋_GB2312" w:eastAsia="仿宋_GB2312" w:cs="仿宋_GB2312"/>
          <w:sz w:val="32"/>
          <w:szCs w:val="32"/>
        </w:rPr>
        <w:t>《饮用冷水水表检定规程》（JJG 162-2019）和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《膜式燃气表检定规程》</w:t>
      </w:r>
      <w:bookmarkEnd w:id="3"/>
      <w:r>
        <w:rPr>
          <w:rFonts w:hint="eastAsia" w:ascii="仿宋_GB2312" w:hAnsi="仿宋_GB2312" w:eastAsia="仿宋_GB2312" w:cs="仿宋_GB2312"/>
          <w:sz w:val="32"/>
          <w:szCs w:val="32"/>
        </w:rPr>
        <w:t>（JJG 577-2012）和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《超声波燃气表检定规程》（JJG 1190-2022）和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《热式燃气表检定规程》（JJG 1206-2025）的规定要求配备检定用的所有测量设备，配备的所有测量设备均应为本企业的自有设备，设备配备的数量应与被检仪表的数量相匹配，满足开展检定工作的需要。应列出所建立的所有水表检定装置和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热式燃气表检定装置的一览表（包括计量标准器和配套设备）。</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设备性能</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用于检定的设备（包括软件）应达到要求的准确度。设备在使用前应进行检查和（或）确认。</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用于开展检定的所有水表检定装置和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热式燃气表检定装置必须按规定经政府计量行政主管部门考核合格，并取得相应的有效计量标准考核证书和量值溯源证明。</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6.4.3  设备操作人员</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（豫）1002-2013的6.4.3适用于本条。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6.4.4  设备标识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（豫）1002-2013的6.4.4的与检定相关的内容适用于本条。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6.4.5  设备管理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（豫）1002-2013的6.4.5的与检定相关的内容适用于本条。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w:t>
      </w:r>
      <w:r>
        <w:rPr>
          <w:rFonts w:hint="eastAsia" w:ascii="黑体" w:hAnsi="黑体" w:eastAsia="黑体" w:cs="黑体"/>
          <w:sz w:val="32"/>
          <w:szCs w:val="32"/>
          <w:lang w:eastAsia="zh-CN"/>
        </w:rPr>
        <w:t>、</w:t>
      </w:r>
      <w:r>
        <w:rPr>
          <w:rFonts w:hint="eastAsia" w:ascii="黑体" w:hAnsi="黑体" w:eastAsia="黑体" w:cs="黑体"/>
          <w:sz w:val="32"/>
          <w:szCs w:val="32"/>
        </w:rPr>
        <w:t>检定的实施</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检定方法</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  总则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企业应使用适合的方法和程序进行在其授权内的所有检定，包括物品的处置、运输、储存和准备，适当时，还应包括测量不确定度的评定、分析检定数据的统计技术。</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缺少指导书可能影响检定结果，企业应具有所有相关设备的使用和操作指导书和（或）处置、准备检定物品的指导书。所有与实验室工作有关的指导书、标准、手册和参考资料应保持现行有效版本并易于员工取阅。</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7.1.2  方法的选择</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开展计量检定时，企业必须严格执行《饮用冷水水表检定规程》（JJG 162-2019）和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《膜式燃气表检定规程》（JJG 577-2012）和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《超声波燃气表检定规程》（JJG 1190-2022）和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《热式燃气表检定规程》（JJG 1206-2025）。</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trike/>
          <w:dstrike w:val="0"/>
          <w:color w:val="FF0000"/>
          <w:sz w:val="32"/>
          <w:szCs w:val="32"/>
        </w:rPr>
      </w:pPr>
      <w:r>
        <w:rPr>
          <w:rFonts w:hint="eastAsia" w:ascii="仿宋_GB2312" w:hAnsi="仿宋_GB2312" w:eastAsia="仿宋_GB2312" w:cs="仿宋_GB2312"/>
          <w:sz w:val="32"/>
          <w:szCs w:val="32"/>
        </w:rPr>
        <w:t>计量检定规程必须是现行有效版本。</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7.1.3  测量不确定度的评定</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bookmarkStart w:id="4" w:name="_Hlk213181384"/>
      <w:bookmarkStart w:id="5" w:name="_Hlk33434784"/>
      <w:r>
        <w:rPr>
          <w:rFonts w:hint="eastAsia" w:ascii="仿宋_GB2312" w:hAnsi="仿宋_GB2312" w:eastAsia="仿宋_GB2312" w:cs="仿宋_GB2312"/>
          <w:sz w:val="32"/>
          <w:szCs w:val="32"/>
        </w:rPr>
        <w:t>JJF （豫）1002-2013</w:t>
      </w:r>
      <w:bookmarkEnd w:id="4"/>
      <w:r>
        <w:rPr>
          <w:rFonts w:hint="eastAsia" w:ascii="仿宋_GB2312" w:hAnsi="仿宋_GB2312" w:eastAsia="仿宋_GB2312" w:cs="仿宋_GB2312"/>
          <w:sz w:val="32"/>
          <w:szCs w:val="32"/>
        </w:rPr>
        <w:t>的7.3.3的与检定相关的内容适用于本条。</w:t>
      </w:r>
    </w:p>
    <w:bookmarkEnd w:id="5"/>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数据控制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7.1.4.1  JJF （豫）1002-2013的7.3.4的与检定相关的内容适用于本条。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7.1.4.2  </w:t>
      </w:r>
      <w:r>
        <w:rPr>
          <w:rFonts w:hint="eastAsia" w:ascii="仿宋_GB2312" w:hAnsi="仿宋_GB2312" w:eastAsia="仿宋_GB2312" w:cs="仿宋_GB2312"/>
          <w:kern w:val="0"/>
          <w:sz w:val="32"/>
          <w:szCs w:val="32"/>
        </w:rPr>
        <w:t>企业应将每台民用水表</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燃气表的检定数据实时或在出厂前上传至省市场监督管理局建立的“</w:t>
      </w:r>
      <w:r>
        <w:rPr>
          <w:rFonts w:hint="eastAsia" w:ascii="仿宋_GB2312" w:hAnsi="仿宋_GB2312" w:eastAsia="仿宋_GB2312" w:cs="仿宋_GB2312"/>
          <w:kern w:val="0"/>
          <w:sz w:val="32"/>
          <w:szCs w:val="32"/>
          <w:lang w:val="en" w:eastAsia="zh-CN"/>
        </w:rPr>
        <w:t>河南智慧计量监管平台</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服务和供应品的采购</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（豫）1002-2013的7.4的与检定相关的内容适用于本条。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分包</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企业必须在授权的范围内开展检定，不得将检定工作或其中的一部分工作分包给其他单位。</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量值溯源</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7.4.1  总则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用于检定的对检定结果的准确性和有效性有显著影响的所有设备，包括辅助测量设备（例如用于测量环境条件的设备），均应有有效的检定或校准证书。</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7.4.2  设备的检定（或校准）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企业应编制和执行设备的周期检定或校准计划，以确保由本企业进行的检定可</w:t>
      </w:r>
      <w:r>
        <w:rPr>
          <w:rFonts w:hint="eastAsia" w:ascii="仿宋_GB2312" w:hAnsi="仿宋_GB2312" w:eastAsia="仿宋_GB2312" w:cs="仿宋_GB2312"/>
          <w:b w:val="0"/>
          <w:bCs w:val="0"/>
          <w:sz w:val="32"/>
          <w:szCs w:val="32"/>
          <w:highlight w:val="none"/>
          <w:lang w:eastAsia="zh-CN"/>
        </w:rPr>
        <w:t>直接</w:t>
      </w:r>
      <w:r>
        <w:rPr>
          <w:rFonts w:hint="eastAsia" w:ascii="仿宋_GB2312" w:hAnsi="仿宋_GB2312" w:eastAsia="仿宋_GB2312" w:cs="仿宋_GB2312"/>
          <w:sz w:val="32"/>
          <w:szCs w:val="32"/>
        </w:rPr>
        <w:t>溯源到国家基准或社会公用计量标准。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测量设备的有效溯源应当符合</w:t>
      </w:r>
      <w:r>
        <w:rPr>
          <w:rFonts w:hint="eastAsia" w:ascii="仿宋_GB2312" w:hAnsi="仿宋_GB2312" w:eastAsia="仿宋_GB2312" w:cs="仿宋_GB2312"/>
          <w:color w:val="auto"/>
          <w:sz w:val="32"/>
          <w:szCs w:val="32"/>
        </w:rPr>
        <w:t>JJF （豫）1002-2013的</w:t>
      </w:r>
      <w:r>
        <w:rPr>
          <w:rFonts w:hint="eastAsia" w:ascii="仿宋_GB2312" w:hAnsi="仿宋_GB2312" w:eastAsia="仿宋_GB2312" w:cs="仿宋_GB2312"/>
          <w:color w:val="auto"/>
          <w:sz w:val="32"/>
          <w:szCs w:val="32"/>
          <w:lang w:val="en-US" w:eastAsia="zh-CN"/>
        </w:rPr>
        <w:t>7.6.2</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要求。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7.4.3  计量标准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应根据规定的程序对计量标准进行期间核查，以保持其检定或校准状态的置信度。</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企业应有程序来安全处置、运输、存储和使用计量标准，以防止污染或损坏，确保其完整性。</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检定物品的处置</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7.5.1  物品标识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企业应有检定物品的标识系统。物品在整个检定期间应保留该标识。标识系统的设计和使用应确保物品不会在实物上或涉及的记录和其他文件中混淆。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7.5.2  物品存储</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企业应有程序和适当的设施和环境条件避免检定物品在存储、处置和准备过程中发生性能退化、丢失或损坏。当物品需要被存放在规定的环境条件下时，应保持、控制和记录这些环境条件。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检定质量的保证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7.6.1  检定过程的控制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（豫）1002-2013的7.8.1的与检定相关的内容适用于本条。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7.6.2  检定结果的控制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企业应有质量控制程序以监控检定结果的有效性。所得数据的记录方式应便于可发现其发展趋势，如可行，应采用统计技术对结果进行审查。这种监控应有计划并加以评审，可包括（但不限于）下列内容：</w:t>
      </w:r>
    </w:p>
    <w:p>
      <w:pPr>
        <w:keepNext w:val="0"/>
        <w:keepLines w:val="0"/>
        <w:pageBreakBefore w:val="0"/>
        <w:widowControl w:val="0"/>
        <w:numPr>
          <w:ilvl w:val="0"/>
          <w:numId w:val="0"/>
        </w:numPr>
        <w:kinsoku/>
        <w:wordWrap/>
        <w:overflowPunct/>
        <w:topLinePunct w:val="0"/>
        <w:autoSpaceDE/>
        <w:autoSpaceDN/>
        <w:bidi w:val="0"/>
        <w:spacing w:after="0" w:line="590"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a）</w:t>
      </w:r>
      <w:r>
        <w:rPr>
          <w:rFonts w:hint="eastAsia" w:ascii="仿宋_GB2312" w:hAnsi="仿宋_GB2312" w:eastAsia="仿宋_GB2312" w:cs="仿宋_GB2312"/>
          <w:kern w:val="0"/>
          <w:sz w:val="32"/>
          <w:szCs w:val="32"/>
        </w:rPr>
        <w:t>参加实验室间的比对或能力验证；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b）</w:t>
      </w:r>
      <w:r>
        <w:rPr>
          <w:rFonts w:hint="eastAsia" w:ascii="仿宋_GB2312" w:hAnsi="仿宋_GB2312" w:eastAsia="仿宋_GB2312" w:cs="仿宋_GB2312"/>
          <w:kern w:val="0"/>
          <w:sz w:val="32"/>
          <w:szCs w:val="32"/>
        </w:rPr>
        <w:t>利用相同或不相同方法进行重复检定；</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c）</w:t>
      </w:r>
      <w:r>
        <w:rPr>
          <w:rFonts w:hint="eastAsia" w:ascii="仿宋_GB2312" w:hAnsi="仿宋_GB2312" w:eastAsia="仿宋_GB2312" w:cs="仿宋_GB2312"/>
          <w:kern w:val="0"/>
          <w:sz w:val="32"/>
          <w:szCs w:val="32"/>
        </w:rPr>
        <w:t>对存留物品进行再检定。</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7.6.3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计量比对和能力验证的实施</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企业应建立计量比对和能力验证的程序，积极参加外部组织的计量比对和能力验证活动，接受政府计量行政主管部门采用计量比对方式开展的定期、不定期技术监督，确保检定结果的准确可靠。</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7.6.4  </w:t>
      </w:r>
      <w:r>
        <w:rPr>
          <w:rFonts w:hint="eastAsia" w:ascii="仿宋_GB2312" w:hAnsi="仿宋_GB2312" w:eastAsia="仿宋_GB2312" w:cs="仿宋_GB2312"/>
          <w:kern w:val="0"/>
          <w:sz w:val="32"/>
          <w:szCs w:val="32"/>
        </w:rPr>
        <w:t>质量控制数据分析</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应分析质量控制的数据，当发现质量控制数据将超出预先确定的判据时，应遵循已有的计划采取措施来纠正出现的问题，并防止报告错误的结果。</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  原始记录和数据处理</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（豫）1002-2013的7.9的与检定相关的内容适用于本条。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7.8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结果报告</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7.8.1  总则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企业应准确、清晰、明确和客观地报告每一项检定的结果，并符合检定规程中规定的要求。结果通常是以检定证书（或检定结果通知书）的形式出具，并应包括说明检定结果所必需的和所用方法要求的全部信息。</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检定证书</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企业进行检定，必须按《计量检定印、证管理办法》和计量检定规程的规定，出具检定证书，检定证书</w:t>
      </w:r>
      <w:r>
        <w:rPr>
          <w:rFonts w:hint="eastAsia" w:ascii="仿宋_GB2312" w:hAnsi="仿宋_GB2312" w:eastAsia="仿宋_GB2312" w:cs="仿宋_GB2312"/>
          <w:kern w:val="0"/>
          <w:sz w:val="32"/>
          <w:szCs w:val="32"/>
        </w:rPr>
        <w:t>可以采用电子证书的形式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8</w:t>
      </w:r>
      <w:r>
        <w:rPr>
          <w:rFonts w:hint="eastAsia" w:ascii="黑体" w:hAnsi="黑体" w:eastAsia="黑体" w:cs="黑体"/>
          <w:sz w:val="32"/>
          <w:szCs w:val="32"/>
          <w:lang w:eastAsia="zh-CN"/>
        </w:rPr>
        <w:t>、</w:t>
      </w:r>
      <w:r>
        <w:rPr>
          <w:rFonts w:hint="eastAsia" w:ascii="黑体" w:hAnsi="黑体" w:eastAsia="黑体" w:cs="黑体"/>
          <w:sz w:val="32"/>
          <w:szCs w:val="32"/>
        </w:rPr>
        <w:t>管理体系改进</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改进</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（豫）1002-2013的8.1适用于本条。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不符合工作的控制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（豫）1002-2013的8.2的与检定相关的内容适用于本条。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内部审核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bookmarkStart w:id="6" w:name="_Hlk33448618"/>
      <w:r>
        <w:rPr>
          <w:rFonts w:hint="eastAsia" w:ascii="仿宋_GB2312" w:hAnsi="仿宋_GB2312" w:eastAsia="仿宋_GB2312" w:cs="仿宋_GB2312"/>
          <w:sz w:val="32"/>
          <w:szCs w:val="32"/>
        </w:rPr>
        <w:t>JJF （豫）1002-2013的8.4适用于本条。</w:t>
      </w:r>
    </w:p>
    <w:bookmarkEnd w:id="6"/>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纠正措施</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（豫）1002-2013的8.5适用于本条。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预防措施</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（豫）1002-2013的8.6适用于本条。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9</w:t>
      </w:r>
      <w:r>
        <w:rPr>
          <w:rFonts w:hint="eastAsia" w:ascii="黑体" w:hAnsi="黑体" w:eastAsia="黑体" w:cs="黑体"/>
          <w:sz w:val="32"/>
          <w:szCs w:val="32"/>
          <w:lang w:eastAsia="zh-CN"/>
        </w:rPr>
        <w:t>、</w:t>
      </w:r>
      <w:r>
        <w:rPr>
          <w:rFonts w:hint="eastAsia" w:ascii="黑体" w:hAnsi="黑体" w:eastAsia="黑体" w:cs="黑体"/>
          <w:sz w:val="32"/>
          <w:szCs w:val="32"/>
        </w:rPr>
        <w:t>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考核申请</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企业向省级政府计量行政部门提出申请，申请时应</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JJF （豫）1002-2013的9.2.7要求提交文件。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考核主持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省级政府计量行政部门在接到专项计量授权申请后，必须在三个月内，对提出的申请资料审查完毕，发出是否受理该专项计量授权申请的通知，并主持专项计量授权考核。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考核实施</w:t>
      </w:r>
    </w:p>
    <w:p>
      <w:pPr>
        <w:keepNext w:val="0"/>
        <w:keepLines w:val="0"/>
        <w:pageBreakBefore w:val="0"/>
        <w:widowControl w:val="0"/>
        <w:tabs>
          <w:tab w:val="left" w:pos="1497"/>
        </w:tabs>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省级政府计量行政部门直接组织考核组实施专项计量授权现场考核。考核组一般由 2人以上组成，包括考核组长 1 人，考评员2～6人（含计量管理专家和计量技术专家）。</w:t>
      </w:r>
    </w:p>
    <w:p>
      <w:pPr>
        <w:pStyle w:val="9"/>
        <w:keepNext w:val="0"/>
        <w:keepLines w:val="0"/>
        <w:pageBreakBefore w:val="0"/>
        <w:widowControl w:val="0"/>
        <w:numPr>
          <w:ilvl w:val="0"/>
          <w:numId w:val="0"/>
        </w:numPr>
        <w:tabs>
          <w:tab w:val="left" w:pos="1497"/>
        </w:tabs>
        <w:kinsoku/>
        <w:wordWrap/>
        <w:overflowPunct/>
        <w:topLinePunct w:val="0"/>
        <w:autoSpaceDE/>
        <w:autoSpaceDN/>
        <w:bidi w:val="0"/>
        <w:spacing w:after="0" w:line="59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考核安排</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现场考核时间一般为 1～3 天。组织考核的政府计量行政部门负责将专项计量授权现场考核计划以文件形式正式通知申请企业。</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考核组长负责制定专项计量授权现场考核计划，经批准后实施。</w:t>
      </w:r>
    </w:p>
    <w:p>
      <w:pPr>
        <w:keepNext w:val="0"/>
        <w:keepLines w:val="0"/>
        <w:pageBreakBefore w:val="0"/>
        <w:widowControl w:val="0"/>
        <w:tabs>
          <w:tab w:val="left" w:pos="1497"/>
        </w:tabs>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rPr>
        <w:t>3</w:t>
      </w: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考核程序</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现场考核按照以下程序进行：预备会议—首次会议—现场观察—分组考核—考核组会议—确定考核意见—末次会议。</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  现场考核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.1  首次会议</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（豫）1002-2013的9.4.4适用于本条。</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.2  现场参观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会议后，考核组成员在企业的负责人或联系人陪同下对整个企业的出厂检验场所进行一次现场参观。通过参观初步了解该企业管理体系的运行状况、环境条件和仪器设备的大致情况，为下一步分软件组和硬件组考核作好准备。</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  软件组考核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.3.1  考核的内容</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软件组负责考核的主要内容是本细则的“4 组织和管理”“5 管理体系”“7.2服务和供应品的采购”和“8 管理体系改进”。</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考核的程序</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组考核的基本程序是按照“考核细则要求与管理体系文件对照检查表”（以下简称“检查表”）的要求，检查各个过程是否识别、职责是否明确、过程是否实施、实施结果是否有效，并在“检查表”上记录评价结果。对考核中发现的所有不符合或存在缺陷的问题收集客观证据，并填写“不符合项/缺陷项记录表”（见附录E）。</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如果发现有可能导致不符合的重要线索，即使不在“检查表”之列，也应予以记录并进行深入调查。对于面谈获得的信息还应通过实际观察、测量或记录等其他方式予以验证。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主要条款的考核方法：</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组织和管理”的考核。通过查看文件和有关记录以及与企业最高管理者面谈确认企业是否遵守相关法律法规，并履行了法定义务；结合其他条款的考核情况，分析、评价企业是否具备了考核规范所规定的基本条件。</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5管理体系”的考核。通过与被授权企业的质量管理者、质量负责人和其他有关人员面谈，查阅体系文件和体系运行记录等方法，检查企业是否已按照5.1所规定的“过程方法”建立管理体系并满足要求；检查是否履行了其对建立、实施管理体系并持续改进其有效性的承诺；检查体系文件、文件和记录的控制是否符合规范的要求，并符合企业的实际情况；检查企业的质量方针是否得到有效贯彻，总体目标是否得以分解、测量、评价和实现。</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7.1检定、校准和检测实施的策划”的考核。检查是否按规定对检定活动进行了策划，并形成了相应的管理程序和质量计划；策划形成的管理程序是否符合有关法律法规和技术规范的要求。采用在检定、型式评价等工作流程的某一环节上随机选取一个或多个工作对象，跟踪调查其在整个工作流程中是否按照体系文件规定执行并满足本规范的要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d）“7.2.1要求、标书和合同的评审”考核。通过查阅有关程序文件和顾客要求、标书和合同的评审记录以及已经签订的合同，检查评审的实施过程是否符合程序规定，评审的结果是否有效。</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7.4服务和供应品的采购”考核。通过查阅程序文件、采购文件、采购服务和物品的验证记录、服务和供应品的供应商的评价记录和获得批准的供应商名单等，检查被授权企业对服务和供应品采购的控制以及控制结果的有效性。</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f）“8 管理体系改进”考核。通过查阅有关程序文件和内部审核、管理评审的计划、记录、审核报告、评审报告、不符合工作控制记录、纠正措施和预防措施记录等，检查企业是否建立了持续改进的机制。查阅顾客满意度调查记录和顾客投诉处理记录，评定被授权企业是否树立了“以顾客为关注焦点”观念，并达到了顾客满意的目标。</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  硬件组考核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.4.1  考核的内容</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硬件组负责考核的主要内容是“考核项目表”中规定的内容以及本细则“6 资源配置和管理”和“7 检定的实施”（除7.2）。</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.4.2  考核的程序</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硬件组按照“考核项目表”中规定的考核内容，检查各项要求是否符合规定要求，并记录考核结果。</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在分项目考核的基础上，按照“检查表”的要求对“6 资源配置和管理”和“7 检定的实施”（除7.1、7.2和7.4）条款进行考核和评价。</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现场观察是硬件考核的关键环节。注意观察试验设备和试验环境，对照技术规范进行核查，并就相关技术问题对试验人员进行提问。可以结合试验关键点的操作、现场提问和现场演示的方式进行考核。当出厂检验试验可在多台仪器设备上进行时，应考虑采用设备比对的方式进行现场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计量比对和能力验证是被授权企业实际能力的重要证明。检查企业是否建立了计量比对和能力验证的制度和纠正措施程序，是否参加相关专业的计量比对和能力验证活动，结果是否符合要求，对结果不满意的是否采取了有效的纠正措施。</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e）</w:t>
      </w:r>
      <w:r>
        <w:rPr>
          <w:rFonts w:hint="eastAsia" w:ascii="仿宋_GB2312" w:hAnsi="仿宋_GB2312" w:eastAsia="仿宋_GB2312" w:cs="仿宋_GB2312"/>
          <w:sz w:val="32"/>
          <w:szCs w:val="32"/>
        </w:rPr>
        <w:t>对在上述考核中发现的所有不符合或存在缺陷的问题收集客观证据，并填写“不符合项/缺陷项记录表”（见附录E）。</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检定项目考核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考核项目表”进行考核。考核的内容包括：计量标准证书及文件集、计量标准器及配套设备、量值溯源、设施与环境条件、人员资质及能力、开展检定的依据、原始记录、检定证书、测量不确定度评定、期间核查、检定结果的质量控制和现场试验等12个方面。考核的依据是本细则的相关条款，以及开展检定所依据的计量检定规程。</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.5  检定证书签发人员的考核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zh-CN"/>
        </w:rPr>
        <w:t>申请考核的证书报告签发人员应是由企业明确其职权，对其签发的检定证书具有最终技术审查职责，对于不符合要求的结果和证书、报告具有否决权的人员。</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考核组长应在硬件组的配合下，对照“证书报告签发人员考核记录”，对负责签发检定证书的人员通过面谈和查阅相关记录等方式进行考核。重点考核其是否熟悉本考核细则和相关的法律法规和计量技术规范要求，技术能力和专业知识是否满足要求。确认其是否具有所承担的签发证书报告职责的能力，并填写“证书报告签发人员考核表”（见附录D）。</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.6  考核计划的调整</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在现场考核过程中，为了确保现场考核取得最佳效果，必要时，考核组长可以在征得组织考核部门和申请考核企业的同意之后，调整考评员的工作任务和考核计划。</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当发现考核目的不可能实现，现场考核无法进行下去时，考核组长应向组织考核部门和申请企业报告原因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.7  不符合项和缺陷项的确定</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考核组在软件组和硬件组分别考核以后，依据考核记录和收集到的客观证据，对照考核细则要求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通过讨论确定不符合项和（或）存在的缺陷项。</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.7.2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不符合项和缺陷项的判定依据：</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管理体系文件的判定依据是考核细则；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管理体系运行过程、运行记录、人员操作的判定依据是管理体系文件（包括质量手册、程序文件、作业指导书等）和计量检定规程等技术法规；</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申请授权项目资质和能力判定的依据是相关的计量法律、法规和规章（包括计量授权管理办法、计量标准考核管理办法、计量器具新产品管理办法等），以及该项目所依据的计量检定规程。</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符合项或缺陷项应事实确凿，其描述应严格引用客观证据，如具体的原始记录、证书、报告及具体活动等，在保证可追溯的前提下，应简洁、清晰，不加修饰。对于多个同类型的不符合项或缺陷项，通过讨论，应汇总成一个典型的不符合项或缺陷项。</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区别不符合项与缺陷项的主要依据包括，但不限于以下方面：</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是系统性的不符合规定的要求，还是偶然性的、个别的不符合规定要求；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不符合规定要求是否会造成检定、校准和检测结果的严重偏离或结论的错误；</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不符合规定要求是否会对计量监督管理产生不良后果或使顾客的利益受到损失；</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是否违反计量法律法规对计量检定人员的行为规范。</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 xml:space="preserve">.7.5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考核组长应就讨论确定的不符合项和（或）存在的缺陷项与企业负责人进行复审或交换意见，以使所有不符合和（或）有缺陷的问题得到申请企业负责人的确认。</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.8  末次会议</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结束，考核组应与申请企业最高管理者及其所辖有关部门负责人举行评审末次会议。由考核组长向企业最高管理者和有关人员通报考核结果，并使他们能清楚地理解考核结果。考核组长应对企业的管理体系能否确保实现质量目标的有效性提出考核组的结论，并声明考核抽样的局限性和风险性。</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9.</w:t>
      </w:r>
      <w:r>
        <w:rPr>
          <w:rFonts w:hint="default" w:ascii="仿宋_GB2312" w:hAnsi="仿宋_GB2312" w:eastAsia="仿宋_GB2312" w:cs="仿宋_GB2312"/>
          <w:b w:val="0"/>
          <w:bCs w:val="0"/>
          <w:color w:val="000000" w:themeColor="text1"/>
          <w:sz w:val="32"/>
          <w:szCs w:val="32"/>
          <w:lang w:val="e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考核报告</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考核组长对考核报告的准确性和完整性负责。考核报告应如实反映考核内容，考核报告须有考核日期、申请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14:textFill>
            <w14:solidFill>
              <w14:schemeClr w14:val="tx1"/>
            </w14:solidFill>
          </w14:textFill>
        </w:rPr>
        <w:t>概况、现场考核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结果</w:t>
      </w:r>
      <w:r>
        <w:rPr>
          <w:rFonts w:hint="eastAsia" w:ascii="仿宋_GB2312" w:hAnsi="仿宋_GB2312" w:eastAsia="仿宋_GB2312" w:cs="仿宋_GB2312"/>
          <w:b w:val="0"/>
          <w:bCs w:val="0"/>
          <w:color w:val="000000" w:themeColor="text1"/>
          <w:sz w:val="32"/>
          <w:szCs w:val="32"/>
          <w14:textFill>
            <w14:solidFill>
              <w14:schemeClr w14:val="tx1"/>
            </w14:solidFill>
          </w14:textFill>
        </w:rPr>
        <w:t>、整改要求、现场考核意见、推荐授权意见、考评员和考核组长签名等。考核报告应按照附录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F</w:t>
      </w:r>
      <w:r>
        <w:rPr>
          <w:rFonts w:hint="eastAsia" w:ascii="仿宋_GB2312" w:hAnsi="仿宋_GB2312" w:eastAsia="仿宋_GB2312" w:cs="仿宋_GB2312"/>
          <w:b w:val="0"/>
          <w:bCs w:val="0"/>
          <w:color w:val="000000" w:themeColor="text1"/>
          <w:sz w:val="32"/>
          <w:szCs w:val="32"/>
          <w14:textFill>
            <w14:solidFill>
              <w14:schemeClr w14:val="tx1"/>
            </w14:solidFill>
          </w14:textFill>
        </w:rPr>
        <w:t>的格式和要求编写。考核组整理并向组织考核的政府计量行政部门提交考核报告和有关考核资料。</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 xml:space="preserve">  纠正措施的验证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验证程序</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考核后，对于存在不符合项和（或）有缺陷项的企业，应采取纠正措施进行整改。考核组长或其指定的考评员对企业的纠正措施进行跟踪验证，并确认其是否有效。整改及其验证应在3个月之内完成。具体完成时间由组织考核部门与被考核企业协商，并征求考核组意见后确定。考核组应在验证纠正措施之后的10个工作日之内编制并上报纠正措施验证报告 （见附录G）。</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验证方法</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考核组应要求企业提交对不符合项或缺陷项实施整改的报告及实施纠正的证据复印件。考核组应从以下几个方面对企业提交的整改资料进行验证：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企业对不符合项或缺陷项是否进行了原因分析；</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企业制定的纠正措施是否具有针对性；</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不符合项或缺陷项是否得到纠正；</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纠正措施是否有效，能否保证类似问题不再发生。</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在以下情况下，考核组对不符合项或缺陷项的整改，应考虑进行现场验证：</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w:t>
      </w:r>
      <w:r>
        <w:rPr>
          <w:rFonts w:hint="eastAsia" w:ascii="仿宋_GB2312" w:hAnsi="仿宋_GB2312" w:eastAsia="仿宋_GB2312" w:cs="仿宋_GB2312"/>
          <w:sz w:val="32"/>
          <w:szCs w:val="32"/>
        </w:rPr>
        <w:t>对于涉及影响检定结果的有效性和影响组织考核部门权威的不符合项或缺陷项；</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b）</w:t>
      </w:r>
      <w:r>
        <w:rPr>
          <w:rFonts w:hint="eastAsia" w:ascii="仿宋_GB2312" w:hAnsi="仿宋_GB2312" w:eastAsia="仿宋_GB2312" w:cs="仿宋_GB2312"/>
          <w:sz w:val="32"/>
          <w:szCs w:val="32"/>
        </w:rPr>
        <w:t>涉及环境设施不符合要求；</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c）</w:t>
      </w:r>
      <w:r>
        <w:rPr>
          <w:rFonts w:hint="eastAsia" w:ascii="仿宋_GB2312" w:hAnsi="仿宋_GB2312" w:eastAsia="仿宋_GB2312" w:cs="仿宋_GB2312"/>
          <w:sz w:val="32"/>
          <w:szCs w:val="32"/>
        </w:rPr>
        <w:t>涉及仪器设备故障或欠缺的；</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d）</w:t>
      </w:r>
      <w:r>
        <w:rPr>
          <w:rFonts w:hint="eastAsia" w:ascii="仿宋_GB2312" w:hAnsi="仿宋_GB2312" w:eastAsia="仿宋_GB2312" w:cs="仿宋_GB2312"/>
          <w:sz w:val="32"/>
          <w:szCs w:val="32"/>
        </w:rPr>
        <w:t>对整改材料仅进行书面审核不能确认其整改是否有效的。</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 xml:space="preserve">  考核结果的评定</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考核部门根据考核报告及纠正措施验证报告、对申请企业管理体系的评价和对申请考核项目的合格确认，决定可否批准颁发计量授权证书。对经批准的企业，其授权证书应附上经确认的检定项目表（见附录H）以及检定证书授权签字人及签字领域（见附录D1 检定证书签发人员一览表）。</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10</w:t>
      </w:r>
      <w:r>
        <w:rPr>
          <w:rFonts w:hint="eastAsia" w:ascii="黑体" w:hAnsi="黑体" w:eastAsia="黑体" w:cs="黑体"/>
          <w:sz w:val="32"/>
          <w:szCs w:val="32"/>
          <w:lang w:eastAsia="zh-CN"/>
        </w:rPr>
        <w:t>、</w:t>
      </w:r>
      <w:r>
        <w:rPr>
          <w:rFonts w:hint="eastAsia" w:ascii="黑体" w:hAnsi="黑体" w:eastAsia="黑体" w:cs="黑体"/>
          <w:sz w:val="32"/>
          <w:szCs w:val="32"/>
        </w:rPr>
        <w:t>证后监督</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（豫）1002-2013的10适用于本章，监督检查中应</w:t>
      </w:r>
      <w:r>
        <w:rPr>
          <w:rFonts w:hint="eastAsia" w:ascii="仿宋_GB2312" w:hAnsi="仿宋_GB2312" w:eastAsia="仿宋_GB2312" w:cs="仿宋_GB2312"/>
          <w:sz w:val="32"/>
          <w:szCs w:val="32"/>
          <w:highlight w:val="none"/>
          <w:lang w:eastAsia="zh-CN"/>
        </w:rPr>
        <w:t>特别</w:t>
      </w:r>
      <w:r>
        <w:rPr>
          <w:rFonts w:hint="eastAsia" w:ascii="仿宋_GB2312" w:hAnsi="仿宋_GB2312" w:eastAsia="仿宋_GB2312" w:cs="仿宋_GB2312"/>
          <w:sz w:val="32"/>
          <w:szCs w:val="32"/>
          <w:highlight w:val="none"/>
        </w:rPr>
        <w:t>关注</w:t>
      </w:r>
      <w:r>
        <w:rPr>
          <w:rFonts w:hint="eastAsia" w:ascii="仿宋_GB2312" w:hAnsi="仿宋_GB2312" w:eastAsia="仿宋_GB2312" w:cs="仿宋_GB2312"/>
          <w:sz w:val="32"/>
          <w:szCs w:val="32"/>
        </w:rPr>
        <w:t>企业检定人员和设备与满足开展检定工作的匹配情况。</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11</w:t>
      </w:r>
      <w:r>
        <w:rPr>
          <w:rFonts w:hint="eastAsia" w:ascii="黑体" w:hAnsi="黑体" w:eastAsia="黑体" w:cs="黑体"/>
          <w:sz w:val="32"/>
          <w:szCs w:val="32"/>
          <w:lang w:eastAsia="zh-CN"/>
        </w:rPr>
        <w:t>、</w:t>
      </w:r>
      <w:r>
        <w:rPr>
          <w:rFonts w:hint="eastAsia" w:ascii="黑体" w:hAnsi="黑体" w:eastAsia="黑体" w:cs="黑体"/>
          <w:sz w:val="32"/>
          <w:szCs w:val="32"/>
        </w:rPr>
        <w:t>扩项考核</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JJF （豫）1002-2013的11的与检定相关的内容适用于本章。</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lang w:eastAsia="zh-CN"/>
        </w:rPr>
      </w:pP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adjustRightInd/>
        <w:snapToGrid/>
        <w:spacing w:after="0" w:line="48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adjustRightInd/>
        <w:snapToGrid/>
        <w:spacing w:after="0" w:line="800" w:lineRule="exact"/>
        <w:ind w:right="0"/>
        <w:jc w:val="center"/>
        <w:textAlignment w:val="auto"/>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“二检合一”</w:t>
      </w:r>
      <w:r>
        <w:rPr>
          <w:rFonts w:hint="eastAsia" w:ascii="方正小标宋简体" w:hAnsi="方正小标宋简体" w:eastAsia="方正小标宋简体" w:cs="方正小标宋简体"/>
          <w:kern w:val="0"/>
          <w:sz w:val="48"/>
          <w:szCs w:val="48"/>
          <w:lang w:eastAsia="zh-CN"/>
        </w:rPr>
        <w:t>专项</w:t>
      </w:r>
      <w:r>
        <w:rPr>
          <w:rFonts w:hint="eastAsia" w:ascii="方正小标宋简体" w:hAnsi="方正小标宋简体" w:eastAsia="方正小标宋简体" w:cs="方正小标宋简体"/>
          <w:kern w:val="0"/>
          <w:sz w:val="48"/>
          <w:szCs w:val="48"/>
        </w:rPr>
        <w:t>计量授权</w:t>
      </w: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880" w:firstLineChars="200"/>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after="313" w:afterLines="100" w:line="800" w:lineRule="exact"/>
        <w:ind w:left="0" w:right="0" w:firstLine="880" w:firstLineChars="200"/>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after="0" w:line="800" w:lineRule="exact"/>
        <w:ind w:right="0"/>
        <w:jc w:val="center"/>
        <w:textAlignment w:val="auto"/>
        <w:rPr>
          <w:rFonts w:hint="eastAsia" w:ascii="方正小标宋简体" w:hAnsi="方正小标宋简体" w:eastAsia="方正小标宋简体" w:cs="方正小标宋简体"/>
          <w:kern w:val="0"/>
          <w:sz w:val="72"/>
          <w:szCs w:val="72"/>
        </w:rPr>
      </w:pPr>
      <w:r>
        <w:rPr>
          <w:rFonts w:hint="eastAsia" w:ascii="方正小标宋简体" w:hAnsi="方正小标宋简体" w:eastAsia="方正小标宋简体" w:cs="方正小标宋简体"/>
          <w:kern w:val="0"/>
          <w:sz w:val="72"/>
          <w:szCs w:val="72"/>
        </w:rPr>
        <w:t>考 核 申 请 书</w:t>
      </w: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center"/>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560" w:firstLineChars="200"/>
        <w:jc w:val="center"/>
        <w:textAlignment w:val="auto"/>
        <w:rPr>
          <w:rFonts w:hint="eastAsia" w:ascii="仿宋_GB2312" w:hAnsi="仿宋_GB2312"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napToGrid/>
        <w:spacing w:after="0" w:line="670" w:lineRule="exact"/>
        <w:ind w:right="0" w:firstLine="320" w:firstLineChars="100"/>
        <w:jc w:val="both"/>
        <w:textAlignment w:val="auto"/>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申</w:t>
      </w:r>
      <w:r>
        <w:rPr>
          <w:rFonts w:hint="eastAsia" w:ascii="宋体" w:hAnsi="宋体" w:eastAsia="宋体" w:cs="宋体"/>
          <w:spacing w:val="28"/>
          <w:kern w:val="0"/>
          <w:sz w:val="32"/>
          <w:szCs w:val="32"/>
        </w:rPr>
        <w:t>请企业名称</w:t>
      </w:r>
      <w:r>
        <w:rPr>
          <w:rFonts w:hint="eastAsia" w:ascii="宋体" w:hAnsi="宋体" w:eastAsia="宋体" w:cs="宋体"/>
          <w:spacing w:val="0"/>
          <w:kern w:val="0"/>
          <w:sz w:val="32"/>
          <w:szCs w:val="32"/>
        </w:rPr>
        <w:t>：</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（盖公章）</w:t>
      </w:r>
    </w:p>
    <w:p>
      <w:pPr>
        <w:keepNext w:val="0"/>
        <w:keepLines w:val="0"/>
        <w:pageBreakBefore w:val="0"/>
        <w:widowControl w:val="0"/>
        <w:kinsoku/>
        <w:wordWrap/>
        <w:overflowPunct/>
        <w:topLinePunct w:val="0"/>
        <w:autoSpaceDE/>
        <w:autoSpaceDN/>
        <w:bidi w:val="0"/>
        <w:adjustRightInd/>
        <w:snapToGrid/>
        <w:spacing w:after="0" w:line="670" w:lineRule="exact"/>
        <w:ind w:right="0" w:firstLine="320" w:firstLineChars="100"/>
        <w:jc w:val="both"/>
        <w:textAlignment w:val="auto"/>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申请企业负责人：</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（签</w:t>
      </w:r>
      <w:r>
        <w:rPr>
          <w:rFonts w:hint="eastAsia" w:ascii="宋体" w:hAnsi="宋体" w:cs="宋体"/>
          <w:spacing w:val="0"/>
          <w:kern w:val="0"/>
          <w:sz w:val="32"/>
          <w:szCs w:val="32"/>
          <w:lang w:val="en-US" w:eastAsia="zh-CN"/>
        </w:rPr>
        <w:t xml:space="preserve">  </w:t>
      </w:r>
      <w:r>
        <w:rPr>
          <w:rFonts w:hint="eastAsia" w:ascii="宋体" w:hAnsi="宋体" w:eastAsia="宋体" w:cs="宋体"/>
          <w:spacing w:val="0"/>
          <w:kern w:val="0"/>
          <w:sz w:val="32"/>
          <w:szCs w:val="32"/>
        </w:rPr>
        <w:t>字）</w:t>
      </w:r>
    </w:p>
    <w:p>
      <w:pPr>
        <w:keepNext w:val="0"/>
        <w:keepLines w:val="0"/>
        <w:pageBreakBefore w:val="0"/>
        <w:widowControl w:val="0"/>
        <w:kinsoku/>
        <w:wordWrap/>
        <w:overflowPunct/>
        <w:topLinePunct w:val="0"/>
        <w:autoSpaceDE/>
        <w:autoSpaceDN/>
        <w:bidi w:val="0"/>
        <w:adjustRightInd/>
        <w:snapToGrid/>
        <w:spacing w:after="0" w:line="670" w:lineRule="exact"/>
        <w:ind w:right="0" w:firstLine="320" w:firstLineChars="100"/>
        <w:jc w:val="both"/>
        <w:textAlignment w:val="auto"/>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申  请  日  期：</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rPr>
        <w:t>年</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月</w:t>
      </w:r>
      <w:r>
        <w:rPr>
          <w:rFonts w:hint="eastAsia" w:ascii="宋体" w:hAnsi="宋体" w:eastAsia="宋体" w:cs="宋体"/>
          <w:spacing w:val="0"/>
          <w:kern w:val="0"/>
          <w:sz w:val="32"/>
          <w:szCs w:val="32"/>
          <w:u w:val="single"/>
        </w:rPr>
        <w:t xml:space="preserve">   </w:t>
      </w:r>
      <w:r>
        <w:rPr>
          <w:rFonts w:hint="eastAsia" w:ascii="宋体" w:hAnsi="宋体" w:cs="宋体"/>
          <w:spacing w:val="0"/>
          <w:kern w:val="0"/>
          <w:sz w:val="32"/>
          <w:szCs w:val="32"/>
          <w:u w:val="single"/>
          <w:lang w:val="en-US" w:eastAsia="zh-CN"/>
        </w:rPr>
        <w:t xml:space="preserve">   </w:t>
      </w:r>
      <w:r>
        <w:rPr>
          <w:rFonts w:hint="eastAsia" w:ascii="宋体" w:hAnsi="宋体" w:eastAsia="宋体" w:cs="宋体"/>
          <w:spacing w:val="0"/>
          <w:kern w:val="0"/>
          <w:sz w:val="32"/>
          <w:szCs w:val="32"/>
          <w:u w:val="single"/>
        </w:rPr>
        <w:t xml:space="preserve">   </w:t>
      </w:r>
      <w:r>
        <w:rPr>
          <w:rFonts w:hint="eastAsia" w:ascii="宋体" w:hAnsi="宋体" w:eastAsia="宋体" w:cs="宋体"/>
          <w:spacing w:val="0"/>
          <w:kern w:val="0"/>
          <w:sz w:val="32"/>
          <w:szCs w:val="32"/>
        </w:rPr>
        <w:t>日</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00" w:firstLineChars="200"/>
        <w:jc w:val="left"/>
        <w:textAlignment w:val="auto"/>
        <w:rPr>
          <w:rFonts w:hint="eastAsia" w:ascii="仿宋_GB2312" w:hAnsi="仿宋_GB2312" w:eastAsia="仿宋_GB2312" w:cs="仿宋_GB2312"/>
          <w:kern w:val="0"/>
          <w:sz w:val="30"/>
          <w:szCs w:val="30"/>
        </w:rPr>
      </w:pP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宋体" w:hAnsi="宋体" w:eastAsia="宋体" w:cs="Times New Roman"/>
          <w:kern w:val="0"/>
          <w:sz w:val="30"/>
          <w:szCs w:val="30"/>
        </w:rPr>
        <w:br w:type="page"/>
      </w:r>
      <w:r>
        <w:rPr>
          <w:rFonts w:hint="eastAsia" w:ascii="宋体" w:hAnsi="宋体" w:cs="Times New Roman"/>
          <w:color w:val="000000" w:themeColor="text1"/>
          <w:kern w:val="0"/>
          <w:sz w:val="30"/>
          <w:szCs w:val="30"/>
          <w:lang w:val="en-US" w:eastAsia="zh-CN"/>
          <w14:textFill>
            <w14:solidFill>
              <w14:schemeClr w14:val="tx1"/>
            </w14:solidFill>
          </w14:textFill>
        </w:rPr>
        <w:t xml:space="preserve">    </w:t>
      </w: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一、基本情况</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191"/>
        <w:gridCol w:w="1218"/>
        <w:gridCol w:w="1246"/>
        <w:gridCol w:w="300"/>
        <w:gridCol w:w="828"/>
        <w:gridCol w:w="808"/>
        <w:gridCol w:w="20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生产地址：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统一社会信用代码</w:t>
            </w:r>
            <w:r>
              <w:rPr>
                <w:rFonts w:hint="eastAsia" w:ascii="宋体" w:hAnsi="宋体" w:eastAsia="宋体" w:cs="宋体"/>
                <w:color w:val="000000" w:themeColor="text1"/>
                <w:kern w:val="0"/>
                <w:sz w:val="22"/>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both"/>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授权部门名称及授权证书号：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联系人</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手机号</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企</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eastAsia="zh-CN"/>
                <w14:textFill>
                  <w14:solidFill>
                    <w14:schemeClr w14:val="tx1"/>
                  </w14:solidFill>
                </w14:textFill>
              </w:rPr>
              <w:t>业</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eastAsia="zh-CN"/>
                <w14:textFill>
                  <w14:solidFill>
                    <w14:schemeClr w14:val="tx1"/>
                  </w14:solidFill>
                </w14:textFill>
              </w:rPr>
              <w:t>办公电话</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传真</w:t>
            </w: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电子信箱</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企业负责人</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职务名称</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姓名</w:t>
            </w: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文化程度</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正职</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副职</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技术负责人</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质量负责人</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13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人力资源</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职工总数</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lang w:val="en" w:eastAsia="zh-CN"/>
                <w14:textFill>
                  <w14:solidFill>
                    <w14:schemeClr w14:val="tx1"/>
                  </w14:solidFill>
                </w14:textFill>
              </w:rPr>
            </w:pPr>
            <w:r>
              <w:rPr>
                <w:rFonts w:hint="eastAsia" w:ascii="宋体" w:hAnsi="宋体" w:cs="宋体"/>
                <w:color w:val="000000" w:themeColor="text1"/>
                <w:kern w:val="0"/>
                <w:sz w:val="22"/>
                <w:szCs w:val="22"/>
                <w:lang w:val="en" w:eastAsia="zh-CN"/>
                <w14:textFill>
                  <w14:solidFill>
                    <w14:schemeClr w14:val="tx1"/>
                  </w14:solidFill>
                </w14:textFill>
              </w:rPr>
              <w:t>计量检定</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val="en" w:eastAsia="zh-CN"/>
                <w14:textFill>
                  <w14:solidFill>
                    <w14:schemeClr w14:val="tx1"/>
                  </w14:solidFill>
                </w14:textFill>
              </w:rPr>
              <w:t>人员</w:t>
            </w: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一级注册</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eastAsia="zh-CN"/>
                <w14:textFill>
                  <w14:solidFill>
                    <w14:schemeClr w14:val="tx1"/>
                  </w14:solidFill>
                </w14:textFill>
              </w:rPr>
              <w:t>计量师</w:t>
            </w:r>
          </w:p>
        </w:tc>
        <w:tc>
          <w:tcPr>
            <w:tcW w:w="11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二级注册</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cs="宋体"/>
                <w:color w:val="000000" w:themeColor="text1"/>
                <w:kern w:val="0"/>
                <w:sz w:val="22"/>
                <w:szCs w:val="22"/>
                <w:lang w:eastAsia="zh-CN"/>
                <w14:textFill>
                  <w14:solidFill>
                    <w14:schemeClr w14:val="tx1"/>
                  </w14:solidFill>
                </w14:textFill>
              </w:rPr>
              <w:t>计量师</w:t>
            </w: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高级职</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称人数</w:t>
            </w: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中级职称</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各类人员数</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占职工总数</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比例</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w:t>
            </w:r>
          </w:p>
        </w:tc>
        <w:tc>
          <w:tcPr>
            <w:tcW w:w="12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246"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19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restart"/>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检定设备资源</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计量标准数</w:t>
            </w:r>
          </w:p>
        </w:tc>
        <w:tc>
          <w:tcPr>
            <w:tcW w:w="2374"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设备总台套数</w:t>
            </w:r>
          </w:p>
        </w:tc>
        <w:tc>
          <w:tcPr>
            <w:tcW w:w="22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设备固定资产总额</w:t>
            </w:r>
          </w:p>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374"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20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restart"/>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检定设施资源</w:t>
            </w: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实验办公用房面积（㎡）</w:t>
            </w:r>
          </w:p>
        </w:tc>
        <w:tc>
          <w:tcPr>
            <w:tcW w:w="15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恒温实验室</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面积（㎡）</w:t>
            </w:r>
          </w:p>
        </w:tc>
        <w:tc>
          <w:tcPr>
            <w:tcW w:w="16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非恒温实验室</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面积（㎡）</w:t>
            </w:r>
          </w:p>
        </w:tc>
        <w:tc>
          <w:tcPr>
            <w:tcW w:w="13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非实验用房</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7" w:type="dxa"/>
            <w:vMerge w:val="continue"/>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2409"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546"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636"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c>
          <w:tcPr>
            <w:tcW w:w="1392"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上年度检定</w:t>
            </w:r>
            <w:r>
              <w:rPr>
                <w:rFonts w:hint="eastAsia" w:ascii="宋体" w:hAnsi="宋体" w:cs="宋体"/>
                <w:color w:val="000000" w:themeColor="text1"/>
                <w:kern w:val="0"/>
                <w:sz w:val="22"/>
                <w:szCs w:val="22"/>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14:textFill>
                  <w14:solidFill>
                    <w14:schemeClr w14:val="tx1"/>
                  </w14:solidFill>
                </w14:textFill>
              </w:rPr>
              <w:t>台件数</w:t>
            </w:r>
          </w:p>
        </w:tc>
        <w:tc>
          <w:tcPr>
            <w:tcW w:w="6983" w:type="dxa"/>
            <w:gridSpan w:val="8"/>
            <w:noWrap w:val="0"/>
            <w:vAlign w:val="center"/>
          </w:tcPr>
          <w:p>
            <w:pPr>
              <w:keepNext w:val="0"/>
              <w:keepLines w:val="0"/>
              <w:pageBreakBefore w:val="0"/>
              <w:widowControl w:val="0"/>
              <w:kinsoku/>
              <w:wordWrap/>
              <w:overflowPunct/>
              <w:topLinePunct w:val="0"/>
              <w:autoSpaceDE/>
              <w:autoSpaceDN/>
              <w:bidi w:val="0"/>
              <w:adjustRightInd/>
              <w:spacing w:after="0" w:line="350" w:lineRule="exact"/>
              <w:ind w:left="0" w:right="0" w:firstLine="0" w:firstLineChars="0"/>
              <w:jc w:val="center"/>
              <w:textAlignment w:val="auto"/>
              <w:rPr>
                <w:rFonts w:hint="eastAsia" w:ascii="宋体" w:hAnsi="宋体" w:eastAsia="宋体" w:cs="宋体"/>
                <w:color w:val="000000" w:themeColor="text1"/>
                <w:kern w:val="0"/>
                <w:sz w:val="22"/>
                <w:szCs w:val="22"/>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二、承担（或申请承担）的检定任务范围</w:t>
      </w: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三、提供如下文件</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bookmarkStart w:id="7" w:name="_Hlk35241918"/>
      <w:r>
        <w:rPr>
          <w:rFonts w:hint="eastAsia" w:ascii="仿宋_GB2312" w:hAnsi="仿宋_GB2312" w:eastAsia="仿宋_GB2312" w:cs="仿宋_GB2312"/>
          <w:sz w:val="32"/>
          <w:szCs w:val="32"/>
        </w:rPr>
        <w:t>1.企业营业执照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2.授权证书（复查时）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3.考核项目表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4.考核规范与管理体系文件对照检查表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5.检定证书签发人员一览表（D1表）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6.检定证书签发人员考核记录（D2表）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7.质量手册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8.程序文件目录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“二检合一”专项计量授权申请</w:t>
      </w:r>
      <w:r>
        <w:rPr>
          <w:rFonts w:hint="eastAsia" w:ascii="仿宋_GB2312" w:hAnsi="仿宋_GB2312" w:eastAsia="仿宋_GB2312" w:cs="仿宋_GB2312"/>
          <w:color w:val="000000" w:themeColor="text1"/>
          <w:sz w:val="32"/>
          <w:szCs w:val="32"/>
          <w14:textFill>
            <w14:solidFill>
              <w14:schemeClr w14:val="tx1"/>
            </w14:solidFill>
          </w14:textFill>
        </w:rPr>
        <w:t>自我声明</w:t>
      </w:r>
      <w:r>
        <w:rPr>
          <w:rFonts w:hint="eastAsia" w:ascii="仿宋_GB2312" w:hAnsi="仿宋_GB2312" w:eastAsia="仿宋_GB2312" w:cs="仿宋_GB2312"/>
          <w:color w:val="000000" w:themeColor="text1"/>
          <w:sz w:val="32"/>
          <w:szCs w:val="32"/>
          <w:lang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承诺书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04" w:firstLineChars="200"/>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10.已参加的计量比对和（或）能力验证活动目录及结果</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04" w:firstLineChars="200"/>
        <w:textAlignment w:val="auto"/>
        <w:rPr>
          <w:rFonts w:hint="eastAsia" w:ascii="仿宋_GB2312" w:hAnsi="仿宋_GB2312" w:eastAsia="仿宋_GB2312" w:cs="仿宋_GB2312"/>
          <w:b w:val="0"/>
          <w:bCs w:val="0"/>
          <w:color w:val="000000" w:themeColor="text1"/>
          <w:spacing w:val="-9"/>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9"/>
          <w:sz w:val="32"/>
          <w:szCs w:val="32"/>
          <w:lang w:val="en-US" w:eastAsia="zh-CN"/>
          <w14:textFill>
            <w14:solidFill>
              <w14:schemeClr w14:val="tx1"/>
            </w14:solidFill>
          </w14:textFill>
        </w:rPr>
        <w:t>11.信息化能力说明材料 ：包括但不限于企业数据管理系</w:t>
      </w:r>
    </w:p>
    <w:p>
      <w:pPr>
        <w:keepNext w:val="0"/>
        <w:keepLines w:val="0"/>
        <w:pageBreakBefore w:val="0"/>
        <w:widowControl w:val="0"/>
        <w:kinsoku/>
        <w:wordWrap/>
        <w:overflowPunct/>
        <w:topLinePunct w:val="0"/>
        <w:autoSpaceDE/>
        <w:autoSpaceDN/>
        <w:bidi w:val="0"/>
        <w:adjustRightInd/>
        <w:snapToGrid/>
        <w:spacing w:after="0" w:line="590" w:lineRule="exact"/>
        <w:ind w:right="0" w:firstLine="906" w:firstLineChars="300"/>
        <w:textAlignment w:val="auto"/>
        <w:rPr>
          <w:rFonts w:hint="eastAsia" w:ascii="仿宋_GB2312" w:hAnsi="仿宋_GB2312" w:eastAsia="仿宋_GB2312" w:cs="仿宋_GB2312"/>
          <w:b w:val="0"/>
          <w:bCs w:val="0"/>
          <w:color w:val="000000" w:themeColor="text1"/>
          <w:spacing w:val="-9"/>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9"/>
          <w:sz w:val="32"/>
          <w:szCs w:val="32"/>
          <w:lang w:val="en-US" w:eastAsia="zh-CN"/>
          <w14:textFill>
            <w14:solidFill>
              <w14:schemeClr w14:val="tx1"/>
            </w14:solidFill>
          </w14:textFill>
        </w:rPr>
        <w:t>统介绍、与省级监管平台对接的技术方案或计划、数据</w:t>
      </w:r>
    </w:p>
    <w:p>
      <w:pPr>
        <w:keepNext w:val="0"/>
        <w:keepLines w:val="0"/>
        <w:pageBreakBefore w:val="0"/>
        <w:widowControl w:val="0"/>
        <w:kinsoku/>
        <w:wordWrap/>
        <w:overflowPunct/>
        <w:topLinePunct w:val="0"/>
        <w:autoSpaceDE/>
        <w:autoSpaceDN/>
        <w:bidi w:val="0"/>
        <w:adjustRightInd/>
        <w:snapToGrid/>
        <w:spacing w:after="0" w:line="590" w:lineRule="exact"/>
        <w:ind w:right="0" w:firstLine="906" w:firstLineChars="300"/>
        <w:textAlignment w:val="auto"/>
        <w:rPr>
          <w:rFonts w:hint="eastAsia" w:ascii="仿宋_GB2312" w:hAnsi="仿宋_GB2312" w:eastAsia="仿宋_GB2312" w:cs="仿宋_GB2312"/>
          <w:b w:val="0"/>
          <w:bCs w:val="0"/>
          <w:color w:val="000000" w:themeColor="text1"/>
          <w:spacing w:val="-9"/>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9"/>
          <w:sz w:val="32"/>
          <w:szCs w:val="32"/>
          <w:lang w:val="en-US" w:eastAsia="zh-CN"/>
          <w14:textFill>
            <w14:solidFill>
              <w14:schemeClr w14:val="tx1"/>
            </w14:solidFill>
          </w14:textFill>
        </w:rPr>
        <w:t xml:space="preserve">安全保障措施说明等。                               </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1份</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604" w:firstLineChars="200"/>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四、市级市场监管部门初审意见</w:t>
      </w: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经审查，对</w:t>
      </w: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企业提交的“二检合一”专项计量授权申请材料提出如下初审意见：</w:t>
      </w: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 初审通过，同意推荐。</w:t>
      </w: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 材料需补正，修改后重新提交初审。具体问题及补正要求如下：</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 初审不通过，不予推荐。主要原如下：</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90" w:lineRule="exact"/>
        <w:ind w:right="0" w:firstLine="640" w:firstLineChars="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（可附页）</w:t>
      </w:r>
    </w:p>
    <w:p>
      <w:pPr>
        <w:keepNext w:val="0"/>
        <w:keepLines w:val="0"/>
        <w:pageBreakBefore w:val="0"/>
        <w:widowControl w:val="0"/>
        <w:kinsoku/>
        <w:wordWrap/>
        <w:overflowPunct/>
        <w:topLinePunct w:val="0"/>
        <w:autoSpaceDE/>
        <w:autoSpaceDN/>
        <w:bidi w:val="0"/>
        <w:spacing w:after="0" w:line="590" w:lineRule="exact"/>
        <w:ind w:right="0" w:firstLine="4480" w:firstLineChars="14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90" w:lineRule="exact"/>
        <w:ind w:right="0" w:firstLine="5120" w:firstLineChars="16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90" w:lineRule="exact"/>
        <w:ind w:right="0" w:firstLine="3840" w:firstLineChars="12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初审负责人（签字）：</w:t>
      </w:r>
    </w:p>
    <w:p>
      <w:pPr>
        <w:keepNext w:val="0"/>
        <w:keepLines w:val="0"/>
        <w:pageBreakBefore w:val="0"/>
        <w:widowControl w:val="0"/>
        <w:kinsoku/>
        <w:wordWrap/>
        <w:overflowPunct/>
        <w:topLinePunct w:val="0"/>
        <w:autoSpaceDE/>
        <w:autoSpaceDN/>
        <w:bidi w:val="0"/>
        <w:spacing w:after="0" w:line="590" w:lineRule="exact"/>
        <w:ind w:right="0" w:firstLine="5120" w:firstLineChars="16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90" w:lineRule="exact"/>
        <w:ind w:right="0" w:firstLine="2880" w:firstLineChars="9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市级市场监管部门（盖章）：</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90" w:lineRule="exact"/>
        <w:ind w:right="0" w:firstLine="5440" w:firstLineChars="1700"/>
        <w:jc w:val="left"/>
        <w:textAlignment w:val="auto"/>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b w:val="0"/>
          <w:bCs w:val="0"/>
          <w:color w:val="000000" w:themeColor="text1"/>
          <w:kern w:val="0"/>
          <w:sz w:val="32"/>
          <w:szCs w:val="32"/>
          <w:lang w:val="en-US" w:eastAsia="zh-CN"/>
          <w14:textFill>
            <w14:solidFill>
              <w14:schemeClr w14:val="tx1"/>
            </w14:solidFill>
          </w14:textFill>
        </w:rPr>
        <w:t>年   月   日</w:t>
      </w:r>
    </w:p>
    <w:bookmarkEnd w:id="7"/>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lang w:eastAsia="zh-CN"/>
        </w:rPr>
      </w:pP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B</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right="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考核项目表</w:t>
      </w:r>
    </w:p>
    <w:p>
      <w:pPr>
        <w:keepNext w:val="0"/>
        <w:keepLines w:val="0"/>
        <w:pageBreakBefore w:val="0"/>
        <w:widowControl w:val="0"/>
        <w:kinsoku/>
        <w:wordWrap/>
        <w:overflowPunct/>
        <w:topLinePunct w:val="0"/>
        <w:autoSpaceDE/>
        <w:autoSpaceDN/>
        <w:bidi w:val="0"/>
        <w:adjustRightInd/>
        <w:snapToGrid/>
        <w:spacing w:line="550" w:lineRule="exact"/>
        <w:ind w:right="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序号：</w:t>
      </w:r>
    </w:p>
    <w:p>
      <w:pPr>
        <w:keepNext w:val="0"/>
        <w:keepLines w:val="0"/>
        <w:pageBreakBefore w:val="0"/>
        <w:widowControl w:val="0"/>
        <w:kinsoku/>
        <w:wordWrap/>
        <w:overflowPunct/>
        <w:topLinePunct w:val="0"/>
        <w:autoSpaceDE/>
        <w:autoSpaceDN/>
        <w:bidi w:val="0"/>
        <w:adjustRightInd/>
        <w:snapToGrid/>
        <w:spacing w:line="550" w:lineRule="exact"/>
        <w:ind w:right="0"/>
        <w:jc w:val="righ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第   页，共   页</w:t>
      </w:r>
    </w:p>
    <w:tbl>
      <w:tblPr>
        <w:tblStyle w:val="6"/>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081"/>
        <w:gridCol w:w="536"/>
        <w:gridCol w:w="425"/>
        <w:gridCol w:w="1134"/>
        <w:gridCol w:w="1251"/>
        <w:gridCol w:w="256"/>
        <w:gridCol w:w="1044"/>
        <w:gridCol w:w="122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所建计量标准名称</w:t>
            </w:r>
          </w:p>
        </w:tc>
        <w:tc>
          <w:tcPr>
            <w:tcW w:w="209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测量范围</w:t>
            </w:r>
          </w:p>
        </w:tc>
        <w:tc>
          <w:tcPr>
            <w:tcW w:w="25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不确定度/准确度等级</w:t>
            </w:r>
          </w:p>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/最大允许误差</w:t>
            </w:r>
          </w:p>
        </w:tc>
        <w:tc>
          <w:tcPr>
            <w:tcW w:w="23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计量标准考核证书号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209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25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236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计量标准器</w:t>
            </w:r>
          </w:p>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及配套设备</w:t>
            </w:r>
          </w:p>
        </w:tc>
        <w:tc>
          <w:tcPr>
            <w:tcW w:w="1081"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型号规格</w:t>
            </w:r>
          </w:p>
        </w:tc>
        <w:tc>
          <w:tcPr>
            <w:tcW w:w="961"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制造厂</w:t>
            </w:r>
          </w:p>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及编号</w:t>
            </w:r>
          </w:p>
        </w:tc>
        <w:tc>
          <w:tcPr>
            <w:tcW w:w="113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测量</w:t>
            </w:r>
          </w:p>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范围</w:t>
            </w:r>
          </w:p>
        </w:tc>
        <w:tc>
          <w:tcPr>
            <w:tcW w:w="150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不确定度/准确度等级/最大允许误差</w:t>
            </w:r>
          </w:p>
        </w:tc>
        <w:tc>
          <w:tcPr>
            <w:tcW w:w="104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检定/校准周期</w:t>
            </w:r>
          </w:p>
        </w:tc>
        <w:tc>
          <w:tcPr>
            <w:tcW w:w="1229"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末次检定/校准日期</w:t>
            </w:r>
          </w:p>
        </w:tc>
        <w:tc>
          <w:tcPr>
            <w:tcW w:w="113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检定/校准证书号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3"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961"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50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04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2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c>
          <w:tcPr>
            <w:tcW w:w="113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开展检定项目名称</w:t>
            </w:r>
          </w:p>
        </w:tc>
        <w:tc>
          <w:tcPr>
            <w:tcW w:w="2095"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测量范围</w:t>
            </w:r>
          </w:p>
        </w:tc>
        <w:tc>
          <w:tcPr>
            <w:tcW w:w="2551"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不确定度/准确度等级</w:t>
            </w:r>
          </w:p>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/最大允许误差</w:t>
            </w:r>
          </w:p>
        </w:tc>
        <w:tc>
          <w:tcPr>
            <w:tcW w:w="2363" w:type="dxa"/>
            <w:gridSpan w:val="2"/>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依据检定规程名称</w:t>
            </w:r>
          </w:p>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09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5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3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24" w:type="dxa"/>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095" w:type="dxa"/>
            <w:gridSpan w:val="3"/>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551" w:type="dxa"/>
            <w:gridSpan w:val="3"/>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c>
          <w:tcPr>
            <w:tcW w:w="2363" w:type="dxa"/>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33" w:type="dxa"/>
            <w:gridSpan w:val="10"/>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考核内容</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评价意见</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center"/>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1、计量标准证书及文件集</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2、计量标准器及配套设备</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3、量值溯源</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4、设施与环境条件</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5、人员资质及能力</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6、开展检定的依据</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7、原始记录</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8、检定证书</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9、期间核查</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10、测量不确定度评定</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11、检定结果的质量控制</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060" w:type="dxa"/>
            <w:gridSpan w:val="3"/>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ascii="宋体" w:hAnsi="宋体" w:cs="Times New Roman"/>
                <w:b w:val="0"/>
                <w:bCs w:val="0"/>
                <w:kern w:val="0"/>
                <w:sz w:val="21"/>
                <w:szCs w:val="21"/>
              </w:rPr>
              <w:t>12、现场试验</w:t>
            </w:r>
          </w:p>
        </w:tc>
        <w:tc>
          <w:tcPr>
            <w:tcW w:w="281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lang w:eastAsia="zh-CN"/>
              </w:rPr>
            </w:pP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不符合</w:t>
            </w:r>
          </w:p>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r>
              <w:rPr>
                <w:rFonts w:hint="eastAsia" w:cs="宋体"/>
                <w:kern w:val="0"/>
                <w:sz w:val="21"/>
                <w:szCs w:val="21"/>
              </w:rPr>
              <w:t>□</w:t>
            </w:r>
            <w:r>
              <w:rPr>
                <w:rFonts w:hint="eastAsia" w:ascii="宋体" w:hAnsi="宋体" w:cs="Times New Roman"/>
                <w:b w:val="0"/>
                <w:bCs w:val="0"/>
                <w:kern w:val="0"/>
                <w:sz w:val="21"/>
                <w:szCs w:val="21"/>
              </w:rPr>
              <w:t>无</w:t>
            </w:r>
          </w:p>
        </w:tc>
        <w:tc>
          <w:tcPr>
            <w:tcW w:w="3663"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after="0" w:line="300" w:lineRule="exact"/>
              <w:ind w:left="0" w:right="0" w:firstLine="0" w:firstLineChars="0"/>
              <w:jc w:val="both"/>
              <w:textAlignment w:val="auto"/>
              <w:rPr>
                <w:rFonts w:hint="eastAsia" w:ascii="宋体" w:hAnsi="宋体" w:cs="Times New Roman"/>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jc w:val="center"/>
        </w:trPr>
        <w:tc>
          <w:tcPr>
            <w:tcW w:w="9533" w:type="dxa"/>
            <w:gridSpan w:val="10"/>
            <w:noWrap w:val="0"/>
            <w:vAlign w:val="center"/>
          </w:tcPr>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eastAsia="宋体" w:cs="Times New Roman"/>
                <w:b w:val="0"/>
                <w:bCs w:val="0"/>
                <w:kern w:val="0"/>
                <w:sz w:val="21"/>
                <w:szCs w:val="21"/>
              </w:rPr>
            </w:pPr>
            <w:r>
              <w:rPr>
                <w:rFonts w:hint="eastAsia" w:ascii="宋体" w:hAnsi="宋体" w:eastAsia="宋体" w:cs="Times New Roman"/>
                <w:b w:val="0"/>
                <w:bCs w:val="0"/>
                <w:kern w:val="0"/>
                <w:sz w:val="21"/>
                <w:szCs w:val="21"/>
              </w:rPr>
              <w:t>考核结论</w:t>
            </w:r>
            <w:r>
              <w:rPr>
                <w:rFonts w:hint="eastAsia" w:ascii="宋体" w:hAnsi="宋体" w:cs="Times New Roman"/>
                <w:b w:val="0"/>
                <w:bCs w:val="0"/>
                <w:kern w:val="0"/>
                <w:sz w:val="21"/>
                <w:szCs w:val="21"/>
                <w:lang w:eastAsia="zh-CN"/>
              </w:rPr>
              <w:t>：</w:t>
            </w:r>
            <w:r>
              <w:rPr>
                <w:rFonts w:hint="eastAsia" w:cs="宋体"/>
                <w:kern w:val="0"/>
                <w:sz w:val="21"/>
                <w:szCs w:val="21"/>
              </w:rPr>
              <w:t>□</w:t>
            </w:r>
            <w:r>
              <w:rPr>
                <w:rFonts w:hint="eastAsia" w:ascii="宋体" w:hAnsi="宋体" w:cs="Times New Roman"/>
                <w:b w:val="0"/>
                <w:bCs w:val="0"/>
                <w:kern w:val="0"/>
                <w:sz w:val="21"/>
                <w:szCs w:val="21"/>
              </w:rPr>
              <w:t>符合</w:t>
            </w:r>
            <w:r>
              <w:rPr>
                <w:rFonts w:hint="eastAsia" w:ascii="宋体" w:hAnsi="宋体" w:cs="Times New Roman"/>
                <w:b w:val="0"/>
                <w:bCs w:val="0"/>
                <w:kern w:val="0"/>
                <w:sz w:val="21"/>
                <w:szCs w:val="21"/>
                <w:lang w:val="en-US" w:eastAsia="zh-CN"/>
              </w:rPr>
              <w:t xml:space="preserve">  </w:t>
            </w:r>
            <w:r>
              <w:rPr>
                <w:rFonts w:hint="eastAsia" w:cs="宋体"/>
                <w:kern w:val="0"/>
                <w:sz w:val="21"/>
                <w:szCs w:val="21"/>
              </w:rPr>
              <w:t>□</w:t>
            </w:r>
            <w:r>
              <w:rPr>
                <w:rFonts w:hint="eastAsia" w:ascii="宋体" w:hAnsi="宋体" w:cs="Times New Roman"/>
                <w:b w:val="0"/>
                <w:bCs w:val="0"/>
                <w:kern w:val="0"/>
                <w:sz w:val="21"/>
                <w:szCs w:val="21"/>
              </w:rPr>
              <w:t>有缺陷</w:t>
            </w:r>
            <w:r>
              <w:rPr>
                <w:rFonts w:hint="eastAsia" w:ascii="宋体" w:hAnsi="宋体" w:cs="Times New Roman"/>
                <w:b w:val="0"/>
                <w:bCs w:val="0"/>
                <w:kern w:val="0"/>
                <w:sz w:val="21"/>
                <w:szCs w:val="21"/>
                <w:lang w:val="en-US" w:eastAsia="zh-CN"/>
              </w:rPr>
              <w:t xml:space="preserve">  </w:t>
            </w:r>
            <w:r>
              <w:rPr>
                <w:rFonts w:hint="eastAsia" w:cs="宋体"/>
                <w:kern w:val="0"/>
                <w:sz w:val="21"/>
                <w:szCs w:val="21"/>
                <w:lang w:eastAsia="zh-CN"/>
              </w:rPr>
              <w:t>□</w:t>
            </w:r>
            <w:r>
              <w:rPr>
                <w:rFonts w:hint="eastAsia" w:ascii="宋体" w:hAnsi="宋体" w:cs="Times New Roman"/>
                <w:b w:val="0"/>
                <w:bCs w:val="0"/>
                <w:kern w:val="0"/>
                <w:sz w:val="21"/>
                <w:szCs w:val="21"/>
              </w:rPr>
              <w:t>不符合</w:t>
            </w:r>
          </w:p>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eastAsia="宋体" w:cs="Times New Roman"/>
                <w:b w:val="0"/>
                <w:bCs w:val="0"/>
                <w:kern w:val="0"/>
                <w:sz w:val="21"/>
                <w:szCs w:val="21"/>
              </w:rPr>
            </w:pPr>
          </w:p>
          <w:p>
            <w:pPr>
              <w:keepNext w:val="0"/>
              <w:keepLines w:val="0"/>
              <w:pageBreakBefore w:val="0"/>
              <w:widowControl w:val="0"/>
              <w:kinsoku/>
              <w:wordWrap/>
              <w:overflowPunct/>
              <w:topLinePunct w:val="0"/>
              <w:autoSpaceDE/>
              <w:autoSpaceDN/>
              <w:bidi w:val="0"/>
              <w:adjustRightInd/>
              <w:snapToGrid w:val="0"/>
              <w:spacing w:after="0" w:line="300" w:lineRule="exact"/>
              <w:ind w:left="0" w:right="0" w:firstLine="0" w:firstLineChars="0"/>
              <w:jc w:val="both"/>
              <w:textAlignment w:val="auto"/>
              <w:rPr>
                <w:rFonts w:hint="eastAsia" w:ascii="宋体" w:hAnsi="宋体" w:eastAsia="宋体" w:cs="Times New Roman"/>
                <w:b w:val="0"/>
                <w:bCs w:val="0"/>
                <w:kern w:val="0"/>
                <w:sz w:val="21"/>
                <w:szCs w:val="21"/>
              </w:rPr>
            </w:pPr>
            <w:r>
              <w:rPr>
                <w:rFonts w:hint="eastAsia" w:ascii="宋体" w:hAnsi="宋体" w:eastAsia="宋体" w:cs="Times New Roman"/>
                <w:b w:val="0"/>
                <w:bCs w:val="0"/>
                <w:kern w:val="0"/>
                <w:sz w:val="21"/>
                <w:szCs w:val="21"/>
              </w:rPr>
              <w:t>注：1、在选项上打√；2、评定为不符合或有缺陷的应在说明中指出“不符合项/缺陷项记录表”编号</w:t>
            </w:r>
          </w:p>
        </w:tc>
      </w:tr>
    </w:tbl>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after="0" w:line="710" w:lineRule="exact"/>
        <w:ind w:right="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考核日期：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年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月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日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考评员：            </w:t>
      </w:r>
    </w:p>
    <w:p>
      <w:pPr>
        <w:keepNext w:val="0"/>
        <w:keepLines w:val="0"/>
        <w:pageBreakBefore w:val="0"/>
        <w:widowControl w:val="0"/>
        <w:kinsoku/>
        <w:wordWrap/>
        <w:overflowPunct/>
        <w:topLinePunct w:val="0"/>
        <w:autoSpaceDE/>
        <w:autoSpaceDN/>
        <w:bidi w:val="0"/>
        <w:adjustRightInd/>
        <w:snapToGrid/>
        <w:spacing w:after="0" w:line="710" w:lineRule="exact"/>
        <w:ind w:right="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考核组长：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企业法人：</w:t>
      </w:r>
    </w:p>
    <w:p>
      <w:pPr>
        <w:keepNext w:val="0"/>
        <w:keepLines w:val="0"/>
        <w:pageBreakBefore w:val="0"/>
        <w:widowControl w:val="0"/>
        <w:kinsoku/>
        <w:wordWrap/>
        <w:overflowPunct/>
        <w:topLinePunct w:val="0"/>
        <w:autoSpaceDE/>
        <w:autoSpaceDN/>
        <w:bidi w:val="0"/>
        <w:spacing w:after="0" w:line="590" w:lineRule="exact"/>
        <w:ind w:right="0"/>
        <w:textAlignment w:val="auto"/>
        <w:rPr>
          <w:rFonts w:hint="eastAsia" w:ascii="黑体" w:hAnsi="黑体" w:eastAsia="黑体" w:cs="Times New Roman"/>
          <w:bCs/>
          <w:kern w:val="0"/>
          <w:sz w:val="32"/>
          <w:szCs w:val="32"/>
          <w:lang w:val="en-US" w:eastAsia="zh-CN"/>
        </w:rPr>
      </w:pPr>
      <w:r>
        <w:rPr>
          <w:rFonts w:hint="eastAsia" w:ascii="黑体" w:hAnsi="黑体" w:eastAsia="黑体" w:cs="Times New Roman"/>
          <w:b/>
          <w:kern w:val="0"/>
          <w:sz w:val="28"/>
          <w:szCs w:val="28"/>
        </w:rPr>
        <w:br w:type="page"/>
      </w:r>
      <w:r>
        <w:rPr>
          <w:rFonts w:hint="eastAsia" w:ascii="黑体" w:hAnsi="黑体" w:eastAsia="黑体" w:cs="Times New Roman"/>
          <w:bCs/>
          <w:kern w:val="0"/>
          <w:sz w:val="32"/>
          <w:szCs w:val="32"/>
          <w:lang w:val="en-US" w:eastAsia="zh-CN"/>
        </w:rPr>
        <w:t>附录C</w:t>
      </w:r>
    </w:p>
    <w:p>
      <w:pPr>
        <w:keepNext w:val="0"/>
        <w:keepLines w:val="0"/>
        <w:pageBreakBefore w:val="0"/>
        <w:widowControl w:val="0"/>
        <w:kinsoku/>
        <w:wordWrap/>
        <w:overflowPunct/>
        <w:topLinePunct w:val="0"/>
        <w:autoSpaceDE/>
        <w:autoSpaceDN/>
        <w:bidi w:val="0"/>
        <w:adjustRightInd/>
        <w:snapToGrid/>
        <w:spacing w:before="157" w:beforeLines="50" w:after="157" w:afterLines="50" w:line="670" w:lineRule="exact"/>
        <w:ind w:right="0"/>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考核细则要求与管理体系文件对照检查表</w:t>
      </w:r>
    </w:p>
    <w:tbl>
      <w:tblPr>
        <w:tblStyle w:val="6"/>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2350"/>
        <w:gridCol w:w="1300"/>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考核细则条款</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管理体系文件编号</w:t>
            </w:r>
          </w:p>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及条款号</w:t>
            </w: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考核结果</w:t>
            </w: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考核说明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4组织和管理</w:t>
            </w:r>
          </w:p>
        </w:tc>
        <w:tc>
          <w:tcPr>
            <w:tcW w:w="5037" w:type="dxa"/>
            <w:gridSpan w:val="3"/>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4.1地位</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4.2责任</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4.3基本条件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4.3.1总则</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4.3.2基本要求</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4.3.3沟通机制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 管理体系</w:t>
            </w:r>
          </w:p>
        </w:tc>
        <w:tc>
          <w:tcPr>
            <w:tcW w:w="5037" w:type="dxa"/>
            <w:gridSpan w:val="3"/>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5.1总体要求</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5.2管理职责</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5.3体系文件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5.4文件控制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5.5记录控制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5.6管理评审</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6资源配置和管理</w:t>
            </w:r>
          </w:p>
        </w:tc>
        <w:tc>
          <w:tcPr>
            <w:tcW w:w="5037" w:type="dxa"/>
            <w:gridSpan w:val="3"/>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6.1总则</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6.2人员</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6.2.1人员配备</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6.2.2人员资质</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6.2.3人员培训</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6.2.4人员职责</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6.2.5授权与记录</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6.3设施和环境条件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6.4测量设备</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6.4.1设备配置</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6.4.2设备性能</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6.4.3设备使用</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6.4.4设备记录</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6.4.5设备管理</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7检定的实施</w:t>
            </w:r>
          </w:p>
        </w:tc>
        <w:tc>
          <w:tcPr>
            <w:tcW w:w="5037" w:type="dxa"/>
            <w:gridSpan w:val="3"/>
            <w:noWrap w:val="0"/>
            <w:vAlign w:val="center"/>
          </w:tcPr>
          <w:p>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w:t>
            </w:r>
            <w:r>
              <w:rPr>
                <w:rFonts w:hint="eastAsia" w:ascii="宋体" w:hAnsi="宋体" w:eastAsia="宋体" w:cs="Times New Roman"/>
                <w:kern w:val="0"/>
                <w:sz w:val="24"/>
                <w:szCs w:val="24"/>
              </w:rPr>
              <w:t>检定方法</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w:t>
            </w:r>
            <w:r>
              <w:rPr>
                <w:rFonts w:hint="eastAsia" w:ascii="宋体" w:hAnsi="宋体" w:eastAsia="宋体" w:cs="Times New Roman"/>
                <w:kern w:val="0"/>
                <w:sz w:val="24"/>
                <w:szCs w:val="24"/>
              </w:rPr>
              <w:t>.1总则</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w:t>
            </w:r>
            <w:r>
              <w:rPr>
                <w:rFonts w:hint="eastAsia" w:ascii="宋体" w:hAnsi="宋体" w:eastAsia="宋体" w:cs="Times New Roman"/>
                <w:kern w:val="0"/>
                <w:sz w:val="24"/>
                <w:szCs w:val="24"/>
              </w:rPr>
              <w:t>.2方法的选择</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1.3</w:t>
            </w:r>
            <w:r>
              <w:rPr>
                <w:rFonts w:hint="eastAsia" w:ascii="宋体" w:hAnsi="宋体" w:eastAsia="宋体" w:cs="Times New Roman"/>
                <w:kern w:val="0"/>
                <w:sz w:val="24"/>
                <w:szCs w:val="24"/>
              </w:rPr>
              <w:t>测量不确定度的评定</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1.4</w:t>
            </w:r>
            <w:r>
              <w:rPr>
                <w:rFonts w:hint="eastAsia" w:ascii="宋体" w:hAnsi="宋体" w:eastAsia="宋体" w:cs="Times New Roman"/>
                <w:kern w:val="0"/>
                <w:sz w:val="24"/>
                <w:szCs w:val="24"/>
              </w:rPr>
              <w:t>数据控制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2</w:t>
            </w:r>
            <w:r>
              <w:rPr>
                <w:rFonts w:hint="eastAsia" w:ascii="宋体" w:hAnsi="宋体" w:eastAsia="宋体" w:cs="Times New Roman"/>
                <w:kern w:val="0"/>
                <w:sz w:val="24"/>
                <w:szCs w:val="24"/>
              </w:rPr>
              <w:t>服务和供应品的采购</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3</w:t>
            </w:r>
            <w:r>
              <w:rPr>
                <w:rFonts w:hint="eastAsia" w:ascii="宋体" w:hAnsi="宋体" w:eastAsia="宋体" w:cs="Times New Roman"/>
                <w:kern w:val="0"/>
                <w:sz w:val="24"/>
                <w:szCs w:val="24"/>
              </w:rPr>
              <w:t>分包</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量值溯源</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.1总则</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.2设备的检定（或校准）</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4</w:t>
            </w:r>
            <w:r>
              <w:rPr>
                <w:rFonts w:hint="eastAsia" w:ascii="宋体" w:hAnsi="宋体" w:eastAsia="宋体" w:cs="Times New Roman"/>
                <w:kern w:val="0"/>
                <w:sz w:val="24"/>
                <w:szCs w:val="24"/>
              </w:rPr>
              <w:t>.3计量标准</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5</w:t>
            </w:r>
            <w:r>
              <w:rPr>
                <w:rFonts w:hint="eastAsia" w:ascii="宋体" w:hAnsi="宋体" w:eastAsia="宋体" w:cs="Times New Roman"/>
                <w:kern w:val="0"/>
                <w:sz w:val="24"/>
                <w:szCs w:val="24"/>
              </w:rPr>
              <w:t>检定物品的处置</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宋体" w:hAnsi="宋体" w:eastAsia="宋体" w:cs="Times New Roman"/>
                <w:kern w:val="0"/>
                <w:sz w:val="24"/>
                <w:szCs w:val="24"/>
              </w:rPr>
              <w:t>1</w:t>
            </w:r>
            <w:r>
              <w:rPr>
                <w:rFonts w:hint="eastAsia" w:ascii="宋体" w:hAnsi="宋体" w:eastAsia="宋体" w:cs="Times New Roman"/>
                <w:kern w:val="0"/>
                <w:sz w:val="24"/>
                <w:szCs w:val="24"/>
              </w:rPr>
              <w:t>物品标识</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5.2</w:t>
            </w:r>
            <w:r>
              <w:rPr>
                <w:rFonts w:hint="eastAsia" w:ascii="宋体" w:hAnsi="宋体" w:eastAsia="宋体" w:cs="Times New Roman"/>
                <w:kern w:val="0"/>
                <w:sz w:val="24"/>
                <w:szCs w:val="24"/>
              </w:rPr>
              <w:t>物品存储</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检定质量的保证</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.1检定过程的控制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.2检定结果的控制</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.3计量比对和能力验证的实施</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6</w:t>
            </w:r>
            <w:r>
              <w:rPr>
                <w:rFonts w:hint="eastAsia" w:ascii="宋体" w:hAnsi="宋体" w:eastAsia="宋体" w:cs="Times New Roman"/>
                <w:kern w:val="0"/>
                <w:sz w:val="24"/>
                <w:szCs w:val="24"/>
              </w:rPr>
              <w:t>.4质量控制数据分析</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7</w:t>
            </w:r>
            <w:r>
              <w:rPr>
                <w:rFonts w:hint="eastAsia" w:ascii="宋体" w:hAnsi="宋体" w:eastAsia="宋体" w:cs="Times New Roman"/>
                <w:kern w:val="0"/>
                <w:sz w:val="24"/>
                <w:szCs w:val="24"/>
              </w:rPr>
              <w:t>原始记录和数据处理</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8</w:t>
            </w:r>
            <w:r>
              <w:rPr>
                <w:rFonts w:hint="eastAsia" w:ascii="宋体" w:hAnsi="宋体" w:eastAsia="宋体" w:cs="Times New Roman"/>
                <w:kern w:val="0"/>
                <w:sz w:val="24"/>
                <w:szCs w:val="24"/>
              </w:rPr>
              <w:t>结果报告</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8</w:t>
            </w:r>
            <w:r>
              <w:rPr>
                <w:rFonts w:hint="eastAsia" w:ascii="宋体" w:hAnsi="宋体" w:eastAsia="宋体" w:cs="Times New Roman"/>
                <w:kern w:val="0"/>
                <w:sz w:val="24"/>
                <w:szCs w:val="24"/>
              </w:rPr>
              <w:t>.1总则</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8</w:t>
            </w:r>
            <w:r>
              <w:rPr>
                <w:rFonts w:hint="eastAsia" w:ascii="宋体" w:hAnsi="宋体" w:eastAsia="宋体" w:cs="Times New Roman"/>
                <w:kern w:val="0"/>
                <w:sz w:val="24"/>
                <w:szCs w:val="24"/>
              </w:rPr>
              <w:t>.2检定证书</w:t>
            </w:r>
          </w:p>
        </w:tc>
        <w:tc>
          <w:tcPr>
            <w:tcW w:w="235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8管理体系改进</w:t>
            </w:r>
          </w:p>
        </w:tc>
        <w:tc>
          <w:tcPr>
            <w:tcW w:w="50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8.1改进</w:t>
            </w:r>
          </w:p>
        </w:tc>
        <w:tc>
          <w:tcPr>
            <w:tcW w:w="235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26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8.2不符合工作的控制</w:t>
            </w:r>
          </w:p>
        </w:tc>
        <w:tc>
          <w:tcPr>
            <w:tcW w:w="235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3</w:t>
            </w:r>
            <w:r>
              <w:rPr>
                <w:rFonts w:hint="eastAsia" w:ascii="宋体" w:hAnsi="宋体" w:eastAsia="宋体" w:cs="Times New Roman"/>
                <w:kern w:val="0"/>
                <w:sz w:val="24"/>
                <w:szCs w:val="24"/>
              </w:rPr>
              <w:t>内部审核</w:t>
            </w:r>
          </w:p>
        </w:tc>
        <w:tc>
          <w:tcPr>
            <w:tcW w:w="235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6"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4</w:t>
            </w:r>
            <w:r>
              <w:rPr>
                <w:rFonts w:hint="eastAsia" w:ascii="宋体" w:hAnsi="宋体" w:eastAsia="宋体" w:cs="Times New Roman"/>
                <w:kern w:val="0"/>
                <w:sz w:val="24"/>
                <w:szCs w:val="24"/>
              </w:rPr>
              <w:t>纠正措施</w:t>
            </w:r>
          </w:p>
        </w:tc>
        <w:tc>
          <w:tcPr>
            <w:tcW w:w="235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766" w:type="dxa"/>
            <w:noWrap w:val="0"/>
            <w:vAlign w:val="center"/>
          </w:tcPr>
          <w:p>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both"/>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5</w:t>
            </w:r>
            <w:r>
              <w:rPr>
                <w:rFonts w:hint="eastAsia" w:ascii="宋体" w:hAnsi="宋体" w:eastAsia="宋体" w:cs="Times New Roman"/>
                <w:kern w:val="0"/>
                <w:sz w:val="24"/>
                <w:szCs w:val="24"/>
              </w:rPr>
              <w:t>预防措施</w:t>
            </w:r>
          </w:p>
        </w:tc>
        <w:tc>
          <w:tcPr>
            <w:tcW w:w="2350" w:type="dxa"/>
            <w:noWrap w:val="0"/>
            <w:vAlign w:val="center"/>
          </w:tcPr>
          <w:p>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00" w:type="dxa"/>
            <w:noWrap w:val="0"/>
            <w:vAlign w:val="center"/>
          </w:tcPr>
          <w:p>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c>
          <w:tcPr>
            <w:tcW w:w="1387" w:type="dxa"/>
            <w:noWrap w:val="0"/>
            <w:vAlign w:val="center"/>
          </w:tcPr>
          <w:p>
            <w:pPr>
              <w:keepNext w:val="0"/>
              <w:keepLines w:val="0"/>
              <w:pageBreakBefore w:val="0"/>
              <w:widowControl w:val="0"/>
              <w:tabs>
                <w:tab w:val="left" w:pos="468"/>
                <w:tab w:val="left" w:pos="2943"/>
                <w:tab w:val="left" w:pos="4219"/>
              </w:tabs>
              <w:kinsoku/>
              <w:wordWrap/>
              <w:overflowPunct/>
              <w:topLinePunct w:val="0"/>
              <w:autoSpaceDE/>
              <w:autoSpaceDN/>
              <w:bidi w:val="0"/>
              <w:snapToGrid w:val="0"/>
              <w:spacing w:after="0" w:line="360" w:lineRule="exact"/>
              <w:ind w:left="0" w:right="0" w:firstLine="0" w:firstLineChars="0"/>
              <w:jc w:val="center"/>
              <w:textAlignment w:val="auto"/>
              <w:rPr>
                <w:rFonts w:hint="eastAsia" w:ascii="宋体" w:hAnsi="宋体" w:eastAsia="宋体" w:cs="Times New Roman"/>
                <w:kern w:val="0"/>
                <w:sz w:val="24"/>
                <w:szCs w:val="24"/>
              </w:rPr>
            </w:pPr>
          </w:p>
        </w:tc>
      </w:tr>
    </w:tbl>
    <w:p>
      <w:pPr>
        <w:keepNext w:val="0"/>
        <w:keepLines w:val="0"/>
        <w:pageBreakBefore w:val="0"/>
        <w:widowControl w:val="0"/>
        <w:kinsoku/>
        <w:wordWrap/>
        <w:overflowPunct/>
        <w:topLinePunct w:val="0"/>
        <w:autoSpaceDE/>
        <w:autoSpaceDN/>
        <w:bidi w:val="0"/>
        <w:adjustRightInd/>
        <w:snapToGrid w:val="0"/>
        <w:spacing w:after="0" w:line="200" w:lineRule="exact"/>
        <w:ind w:left="0" w:right="0" w:firstLine="562" w:firstLineChars="200"/>
        <w:textAlignment w:val="auto"/>
        <w:rPr>
          <w:rFonts w:hint="eastAsia" w:ascii="宋体" w:hAnsi="宋体" w:eastAsia="宋体" w:cs="Times New Roman"/>
          <w:b/>
          <w:kern w:val="0"/>
          <w:sz w:val="28"/>
          <w:szCs w:val="20"/>
        </w:rPr>
      </w:pPr>
    </w:p>
    <w:p>
      <w:pPr>
        <w:keepNext w:val="0"/>
        <w:keepLines w:val="0"/>
        <w:pageBreakBefore w:val="0"/>
        <w:widowControl w:val="0"/>
        <w:tabs>
          <w:tab w:val="center" w:pos="4153"/>
          <w:tab w:val="right" w:pos="8306"/>
        </w:tabs>
        <w:kinsoku/>
        <w:wordWrap/>
        <w:overflowPunct/>
        <w:topLinePunct w:val="0"/>
        <w:autoSpaceDE/>
        <w:autoSpaceDN/>
        <w:bidi w:val="0"/>
        <w:snapToGrid w:val="0"/>
        <w:spacing w:after="0" w:line="59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填表说明：</w:t>
      </w: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after="0" w:line="40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1、“管理体系文件编号及条款号”由申请考核企业负责填写，“考核结果”、“考核说明”两栏由考核组负责填写。</w:t>
      </w: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after="0" w:line="40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2、“考核结果”应逐个条款进行评价。当某条款符合时用Y表示</w:t>
      </w:r>
      <w:r>
        <w:rPr>
          <w:rFonts w:hint="eastAsia" w:ascii="宋体" w:hAnsi="宋体" w:cs="Times New Roman"/>
          <w:kern w:val="0"/>
          <w:sz w:val="21"/>
          <w:szCs w:val="21"/>
          <w:lang w:eastAsia="zh-CN"/>
        </w:rPr>
        <w:t>，</w:t>
      </w:r>
      <w:r>
        <w:rPr>
          <w:rFonts w:hint="eastAsia" w:ascii="宋体" w:hAnsi="宋体" w:cs="Times New Roman"/>
          <w:kern w:val="0"/>
          <w:sz w:val="21"/>
          <w:szCs w:val="21"/>
        </w:rPr>
        <w:t>当某条款存在不符合项时用N表示，当某条款存在缺陷项时用D表示，当某条款该企业不适用时用N/A表示；</w:t>
      </w:r>
    </w:p>
    <w:p>
      <w:pPr>
        <w:keepNext w:val="0"/>
        <w:keepLines w:val="0"/>
        <w:pageBreakBefore w:val="0"/>
        <w:widowControl w:val="0"/>
        <w:kinsoku/>
        <w:wordWrap/>
        <w:overflowPunct/>
        <w:topLinePunct w:val="0"/>
        <w:autoSpaceDE/>
        <w:autoSpaceDN/>
        <w:bidi w:val="0"/>
        <w:adjustRightInd w:val="0"/>
        <w:snapToGrid w:val="0"/>
        <w:spacing w:after="0" w:line="400" w:lineRule="exact"/>
        <w:ind w:left="0" w:right="0" w:firstLine="0" w:firstLineChars="0"/>
        <w:jc w:val="left"/>
        <w:textAlignment w:val="auto"/>
        <w:rPr>
          <w:rFonts w:hint="eastAsia" w:ascii="宋体" w:hAnsi="宋体" w:cs="Times New Roman"/>
          <w:kern w:val="0"/>
          <w:sz w:val="21"/>
          <w:szCs w:val="21"/>
        </w:rPr>
      </w:pPr>
      <w:r>
        <w:rPr>
          <w:rFonts w:hint="eastAsia" w:ascii="宋体" w:hAnsi="宋体" w:cs="Times New Roman"/>
          <w:kern w:val="0"/>
          <w:sz w:val="21"/>
          <w:szCs w:val="21"/>
        </w:rPr>
        <w:t>3、当某条款存在不符合或缺陷项时，应同时在“考核说明”中详细描述，或者说明“不符合项/缺陷项记录表”编号。</w:t>
      </w:r>
    </w:p>
    <w:p>
      <w:pPr>
        <w:keepNext w:val="0"/>
        <w:keepLines w:val="0"/>
        <w:pageBreakBefore w:val="0"/>
        <w:widowControl w:val="0"/>
        <w:kinsoku/>
        <w:wordWrap/>
        <w:overflowPunct/>
        <w:topLinePunct w:val="0"/>
        <w:autoSpaceDE/>
        <w:autoSpaceDN/>
        <w:bidi w:val="0"/>
        <w:adjustRightInd w:val="0"/>
        <w:spacing w:after="0" w:line="400" w:lineRule="exact"/>
        <w:ind w:left="0" w:right="0" w:firstLine="0" w:firstLineChars="0"/>
        <w:jc w:val="left"/>
        <w:textAlignment w:val="auto"/>
        <w:rPr>
          <w:rFonts w:hint="eastAsia" w:ascii="宋体" w:hAnsi="宋体" w:eastAsia="宋体" w:cs="Times New Roman"/>
          <w:b/>
          <w:kern w:val="0"/>
          <w:sz w:val="24"/>
          <w:szCs w:val="24"/>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rPr>
          <w:rFonts w:hint="eastAsia" w:ascii="宋体" w:hAnsi="宋体" w:eastAsia="宋体" w:cs="Times New Roman"/>
          <w:kern w:val="0"/>
          <w:szCs w:val="21"/>
        </w:rPr>
      </w:pPr>
      <w:r>
        <w:rPr>
          <w:rFonts w:hint="eastAsia" w:ascii="宋体" w:hAnsi="宋体" w:eastAsia="宋体" w:cs="Times New Roman"/>
          <w:kern w:val="0"/>
          <w:szCs w:val="21"/>
        </w:rPr>
        <w:br w:type="page"/>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textAlignment w:val="auto"/>
        <w:rPr>
          <w:rFonts w:hint="eastAsia" w:ascii="黑体" w:hAnsi="黑体" w:eastAsia="黑体" w:cs="Times New Roman"/>
          <w:bCs/>
          <w:kern w:val="0"/>
          <w:sz w:val="32"/>
          <w:szCs w:val="32"/>
          <w:lang w:val="en-US" w:eastAsia="zh-CN"/>
        </w:rPr>
      </w:pP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D</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证书报告签发人员考核表</w:t>
      </w:r>
    </w:p>
    <w:p>
      <w:pPr>
        <w:keepNext w:val="0"/>
        <w:keepLines w:val="0"/>
        <w:pageBreakBefore w:val="0"/>
        <w:widowControl w:val="0"/>
        <w:kinsoku/>
        <w:wordWrap/>
        <w:overflowPunct/>
        <w:topLinePunct w:val="0"/>
        <w:autoSpaceDE/>
        <w:autoSpaceDN/>
        <w:bidi w:val="0"/>
        <w:adjustRightInd/>
        <w:snapToGrid/>
        <w:spacing w:after="313" w:afterLines="10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D1 证书报告签发人员一览表</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企业名称</w:t>
      </w:r>
      <w:r>
        <w:rPr>
          <w:rFonts w:hint="eastAsia" w:ascii="宋体" w:hAnsi="宋体" w:cs="Times New Roman"/>
          <w:kern w:val="0"/>
          <w:sz w:val="28"/>
          <w:szCs w:val="28"/>
          <w:lang w:eastAsia="zh-CN"/>
        </w:rPr>
        <w:t>：</w:t>
      </w:r>
    </w:p>
    <w:p>
      <w:pPr>
        <w:keepNext w:val="0"/>
        <w:keepLines w:val="0"/>
        <w:pageBreakBefore w:val="0"/>
        <w:widowControl w:val="0"/>
        <w:kinsoku/>
        <w:wordWrap/>
        <w:overflowPunct/>
        <w:topLinePunct w:val="0"/>
        <w:autoSpaceDE/>
        <w:autoSpaceDN/>
        <w:bidi w:val="0"/>
        <w:spacing w:after="0" w:line="590" w:lineRule="exact"/>
        <w:ind w:right="0"/>
        <w:jc w:val="both"/>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第  页 共   页 </w:t>
      </w:r>
    </w:p>
    <w:tbl>
      <w:tblPr>
        <w:tblStyle w:val="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14"/>
        <w:gridCol w:w="4954"/>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495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签发领域</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4954"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9019" w:type="dxa"/>
            <w:gridSpan w:val="4"/>
            <w:noWrap w:val="0"/>
            <w:vAlign w:val="top"/>
          </w:tcPr>
          <w:p>
            <w:pPr>
              <w:keepNext w:val="0"/>
              <w:keepLines w:val="0"/>
              <w:pageBreakBefore w:val="0"/>
              <w:widowControl w:val="0"/>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填表说明：</w:t>
            </w:r>
          </w:p>
          <w:p>
            <w:pPr>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请列出申请考核企业的所有检定证书签发人员；</w:t>
            </w:r>
          </w:p>
          <w:p>
            <w:pPr>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签发检定的领域请按专业领域描述；</w:t>
            </w:r>
          </w:p>
          <w:p>
            <w:pPr>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存在多地点检定时，不同地点的签发人员请分开填写。</w:t>
            </w:r>
          </w:p>
        </w:tc>
      </w:tr>
    </w:tbl>
    <w:p>
      <w:pPr>
        <w:keepNext w:val="0"/>
        <w:keepLines w:val="0"/>
        <w:pageBreakBefore w:val="0"/>
        <w:widowControl w:val="0"/>
        <w:kinsoku/>
        <w:wordWrap/>
        <w:overflowPunct/>
        <w:topLinePunct w:val="0"/>
        <w:autoSpaceDE/>
        <w:autoSpaceDN/>
        <w:bidi w:val="0"/>
        <w:spacing w:after="0" w:line="590" w:lineRule="exact"/>
        <w:ind w:left="0" w:right="0" w:firstLine="420" w:firstLineChars="200"/>
        <w:jc w:val="left"/>
        <w:textAlignment w:val="auto"/>
        <w:rPr>
          <w:rFonts w:hint="eastAsia" w:ascii="宋体" w:hAnsi="宋体" w:eastAsia="宋体" w:cs="Times New Roman"/>
          <w:kern w:val="0"/>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left"/>
        <w:textAlignment w:val="auto"/>
        <w:rPr>
          <w:rFonts w:hint="default" w:ascii="宋体" w:hAnsi="宋体" w:eastAsia="宋体" w:cs="宋体"/>
          <w:kern w:val="0"/>
          <w:sz w:val="24"/>
          <w:szCs w:val="24"/>
          <w:u w:val="single"/>
          <w:lang w:val="en-US" w:eastAsia="zh-CN"/>
        </w:rPr>
      </w:pPr>
      <w:r>
        <w:rPr>
          <w:rFonts w:hint="eastAsia" w:ascii="宋体" w:hAnsi="宋体" w:eastAsia="宋体" w:cs="宋体"/>
          <w:kern w:val="0"/>
          <w:sz w:val="24"/>
          <w:szCs w:val="24"/>
        </w:rPr>
        <w:t>考评组长：</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pPr>
        <w:rPr>
          <w:rFonts w:hint="eastAsia" w:ascii="黑体" w:hAnsi="黑体" w:eastAsia="黑体" w:cs="Times New Roman"/>
          <w:bCs/>
          <w:kern w:val="0"/>
          <w:sz w:val="28"/>
          <w:szCs w:val="28"/>
        </w:rPr>
      </w:pPr>
      <w:r>
        <w:rPr>
          <w:rFonts w:hint="eastAsia" w:ascii="宋体" w:hAnsi="宋体" w:eastAsia="宋体" w:cs="宋体"/>
          <w:kern w:val="0"/>
          <w:sz w:val="24"/>
          <w:szCs w:val="24"/>
        </w:rPr>
        <w:br w:type="page"/>
      </w:r>
    </w:p>
    <w:p>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黑体" w:hAnsi="黑体" w:eastAsia="黑体" w:cs="Times New Roman"/>
          <w:bCs/>
          <w:kern w:val="0"/>
          <w:sz w:val="28"/>
          <w:szCs w:val="28"/>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D2 证书报告签发人员考核记录</w:t>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企业名称</w:t>
      </w:r>
      <w:r>
        <w:rPr>
          <w:rFonts w:hint="eastAsia" w:ascii="宋体" w:hAnsi="宋体" w:cs="Times New Roman"/>
          <w:kern w:val="0"/>
          <w:sz w:val="28"/>
          <w:szCs w:val="28"/>
          <w:lang w:eastAsia="zh-CN"/>
        </w:rPr>
        <w:t>：</w:t>
      </w:r>
    </w:p>
    <w:p>
      <w:pPr>
        <w:keepNext w:val="0"/>
        <w:keepLines w:val="0"/>
        <w:pageBreakBefore w:val="0"/>
        <w:widowControl w:val="0"/>
        <w:kinsoku/>
        <w:wordWrap/>
        <w:overflowPunct/>
        <w:topLinePunct w:val="0"/>
        <w:autoSpaceDE/>
        <w:autoSpaceDN/>
        <w:bidi w:val="0"/>
        <w:spacing w:after="0" w:line="590" w:lineRule="exact"/>
        <w:ind w:right="0"/>
        <w:jc w:val="righ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第  页 共   页 </w:t>
      </w:r>
    </w:p>
    <w:tbl>
      <w:tblPr>
        <w:tblStyle w:val="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签发人员基本情况：</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由证书报告签发人员填写</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32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姓  名</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性 别</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出生年月</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职  务</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职 称</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文化程度</w:t>
            </w:r>
            <w:r>
              <w:rPr>
                <w:rFonts w:hint="eastAsia" w:ascii="宋体" w:hAnsi="宋体" w:cs="Times New Roman"/>
                <w:kern w:val="0"/>
                <w:sz w:val="24"/>
                <w:szCs w:val="24"/>
                <w:u w:val="single"/>
                <w:lang w:val="en-US" w:eastAsia="zh-CN"/>
              </w:rPr>
              <w:t xml:space="preserve">             </w:t>
            </w:r>
            <w:r>
              <w:rPr>
                <w:rFonts w:hint="eastAsia" w:ascii="宋体" w:hAnsi="宋体" w:cs="Times New Roman"/>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cs="Times New Roman"/>
                <w:kern w:val="0"/>
                <w:sz w:val="24"/>
                <w:szCs w:val="24"/>
                <w:u w:val="single"/>
                <w:lang w:val="en-US" w:eastAsia="zh-CN"/>
              </w:rPr>
            </w:pPr>
            <w:r>
              <w:rPr>
                <w:rFonts w:hint="eastAsia" w:ascii="宋体" w:hAnsi="宋体" w:eastAsia="宋体" w:cs="Times New Roman"/>
                <w:kern w:val="0"/>
                <w:sz w:val="24"/>
                <w:szCs w:val="24"/>
              </w:rPr>
              <w:t>申请签发领域：</w:t>
            </w:r>
            <w:r>
              <w:rPr>
                <w:rFonts w:hint="eastAsia" w:ascii="宋体" w:hAnsi="宋体" w:cs="Times New Roman"/>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default" w:ascii="宋体" w:hAnsi="宋体" w:cs="Times New Roman"/>
                <w:kern w:val="0"/>
                <w:sz w:val="24"/>
                <w:szCs w:val="24"/>
                <w:u w:val="single"/>
                <w:lang w:val="en-US" w:eastAsia="zh-CN"/>
              </w:rPr>
            </w:pPr>
            <w:r>
              <w:rPr>
                <w:rFonts w:hint="eastAsia" w:ascii="宋体" w:hAnsi="宋体" w:cs="Times New Roman"/>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个人参加培训及取得资质情况简述：</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0"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考核情况记录：（由考评员在现场完成）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932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1、具有相应的职责和权利，对证书报告的完整性和准确性负责    是□  否□</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2、与检定技术接触紧密，掌握本企业开展项目范围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是□  否□</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3、熟悉有关检定的规程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是□  否□</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4、有能力对所签发的检定证书的结果及不确定度进行评定        是□  否□</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5、了解有关测量设备检定或校准的规定，掌握其检定或校准状态  是□  否□</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6、十分熟悉记录、检定报告及其核查程序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32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需要说明的问题：</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932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考核意见：</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480" w:firstLineChars="2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□符合                  □不符合</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经考核确认签发证书报告的领域：</w:t>
            </w:r>
            <w:r>
              <w:rPr>
                <w:rFonts w:hint="eastAsia" w:ascii="宋体" w:hAnsi="宋体" w:cs="Times New Roman"/>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考评员</w:t>
            </w:r>
            <w:r>
              <w:rPr>
                <w:rFonts w:hint="eastAsia" w:ascii="宋体" w:hAnsi="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考评组长</w:t>
            </w:r>
            <w:r>
              <w:rPr>
                <w:rFonts w:hint="eastAsia" w:ascii="宋体" w:hAnsi="宋体" w:cs="Times New Roman"/>
                <w:kern w:val="0"/>
                <w:sz w:val="24"/>
                <w:szCs w:val="24"/>
                <w:u w:val="single"/>
                <w:lang w:val="en-US" w:eastAsia="zh-CN"/>
              </w:rPr>
              <w:t xml:space="preserve">                </w:t>
            </w:r>
            <w:r>
              <w:rPr>
                <w:rFonts w:ascii="宋体" w:hAnsi="宋体" w:eastAsia="宋体" w:cs="Times New Roman"/>
                <w:kern w:val="0"/>
                <w:sz w:val="24"/>
                <w:szCs w:val="24"/>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日期</w:t>
            </w:r>
            <w:r>
              <w:rPr>
                <w:rFonts w:hint="eastAsia" w:ascii="宋体" w:hAnsi="宋体" w:cs="Times New Roman"/>
                <w:kern w:val="0"/>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填表说明</w:t>
      </w:r>
      <w:r>
        <w:rPr>
          <w:rFonts w:hint="eastAsia" w:ascii="宋体" w:hAnsi="宋体" w:cs="Times New Roman"/>
          <w:kern w:val="0"/>
          <w:sz w:val="28"/>
          <w:szCs w:val="28"/>
          <w:lang w:eastAsia="zh-CN"/>
        </w:rPr>
        <w:t>：</w:t>
      </w:r>
      <w:r>
        <w:rPr>
          <w:rFonts w:hint="eastAsia" w:ascii="宋体" w:hAnsi="宋体" w:eastAsia="宋体" w:cs="Times New Roman"/>
          <w:kern w:val="0"/>
          <w:sz w:val="28"/>
          <w:szCs w:val="28"/>
        </w:rPr>
        <w:t>签发检定的领域请按专业领域描述。</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textAlignment w:val="auto"/>
        <w:rPr>
          <w:rFonts w:hint="eastAsia" w:ascii="黑体" w:hAnsi="黑体" w:eastAsia="黑体" w:cs="Times New Roman"/>
          <w:bCs/>
          <w:kern w:val="0"/>
          <w:sz w:val="28"/>
          <w:szCs w:val="28"/>
          <w:lang w:val="en-US" w:eastAsia="zh-CN"/>
        </w:rPr>
      </w:pPr>
      <w:r>
        <w:rPr>
          <w:rFonts w:hint="eastAsia" w:ascii="黑体" w:hAnsi="黑体" w:eastAsia="黑体" w:cs="Times New Roman"/>
          <w:bCs/>
          <w:kern w:val="0"/>
          <w:sz w:val="28"/>
          <w:szCs w:val="28"/>
        </w:rPr>
        <w:br w:type="page"/>
      </w: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E</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不符合项/缺陷项记录表</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8"/>
          <w:szCs w:val="28"/>
        </w:rPr>
        <w:t>编号</w:t>
      </w:r>
    </w:p>
    <w:tbl>
      <w:tblPr>
        <w:tblStyle w:val="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243" w:type="dxa"/>
            <w:tcBorders>
              <w:top w:val="single" w:color="auto" w:sz="8" w:space="0"/>
              <w:left w:val="single" w:color="auto" w:sz="12" w:space="0"/>
              <w:bottom w:val="single" w:color="auto" w:sz="4" w:space="0"/>
              <w:right w:val="single" w:color="auto" w:sz="12" w:space="0"/>
            </w:tcBorders>
            <w:noWrap w:val="0"/>
            <w:vAlign w:val="center"/>
          </w:tcPr>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考评员在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□文件评审时完成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 xml:space="preserve">  □ 现场考核时完成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7" w:hRule="atLeast"/>
        </w:trPr>
        <w:tc>
          <w:tcPr>
            <w:tcW w:w="9243" w:type="dxa"/>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被考核部门/岗位：                                陪同人：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考核项目：</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考核依据：  □考核规范      □管理体系文件       □检定规程</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文件编号及名称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条款编号：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详细情况：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结论：上述情况为一个 □ 不符合项   □ 缺陷项</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与                                  规定不符合。</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企业采取纠正/纠正措施</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不予推荐/撤消相关项目授权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向考核管理部门建议暂停相关项目授权</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right="0" w:firstLine="960" w:firstLineChars="4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纠正和纠正措施将通过下列方式验证：</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提供必要的见证材料   </w:t>
            </w:r>
          </w:p>
          <w:p>
            <w:pPr>
              <w:keepNext w:val="0"/>
              <w:keepLines w:val="0"/>
              <w:pageBreakBefore w:val="0"/>
              <w:widowControl w:val="0"/>
              <w:numPr>
                <w:ilvl w:val="0"/>
                <w:numId w:val="0"/>
              </w:numPr>
              <w:tabs>
                <w:tab w:val="left" w:pos="732"/>
              </w:tabs>
              <w:kinsoku/>
              <w:wordWrap/>
              <w:overflowPunct/>
              <w:topLinePunct w:val="0"/>
              <w:autoSpaceDE/>
              <w:autoSpaceDN/>
              <w:bidi w:val="0"/>
              <w:adjustRightInd/>
              <w:snapToGrid/>
              <w:spacing w:after="0" w:line="460" w:lineRule="exact"/>
              <w:ind w:left="0" w:right="0" w:firstLine="720" w:firstLineChars="30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现场验证考核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考评员：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6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考核组长：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9243" w:type="dxa"/>
            <w:tcBorders>
              <w:left w:val="single" w:color="auto" w:sz="12" w:space="0"/>
              <w:bottom w:val="single" w:color="auto" w:sz="4" w:space="0"/>
              <w:right w:val="single" w:color="auto" w:sz="12" w:space="0"/>
            </w:tcBorders>
            <w:noWrap w:val="0"/>
            <w:vAlign w:val="center"/>
          </w:tcPr>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被考核方确认意见：</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□确认    □不确认，原因：                                       </w:t>
            </w:r>
          </w:p>
          <w:p>
            <w:pPr>
              <w:keepNext w:val="0"/>
              <w:keepLines w:val="0"/>
              <w:pageBreakBefore w:val="0"/>
              <w:widowControl w:val="0"/>
              <w:tabs>
                <w:tab w:val="left" w:pos="525"/>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企业负责人：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243" w:type="dxa"/>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widowControl w:val="0"/>
              <w:tabs>
                <w:tab w:val="left" w:pos="0"/>
                <w:tab w:val="left" w:pos="840"/>
              </w:tabs>
              <w:kinsoku/>
              <w:wordWrap/>
              <w:overflowPunct/>
              <w:topLinePunct w:val="0"/>
              <w:autoSpaceDE/>
              <w:autoSpaceDN/>
              <w:bidi w:val="0"/>
              <w:adjustRightInd/>
              <w:snapToGrid/>
              <w:spacing w:after="0" w:line="400" w:lineRule="exact"/>
              <w:ind w:left="0" w:right="0" w:firstLine="0" w:firstLineChars="0"/>
              <w:jc w:val="left"/>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备注：</w:t>
            </w:r>
          </w:p>
        </w:tc>
      </w:tr>
    </w:tbl>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textAlignment w:val="auto"/>
        <w:rPr>
          <w:rFonts w:hint="eastAsia" w:ascii="黑体" w:hAnsi="黑体" w:eastAsia="黑体" w:cs="Times New Roman"/>
          <w:bCs/>
          <w:kern w:val="0"/>
          <w:sz w:val="32"/>
          <w:szCs w:val="32"/>
          <w:lang w:val="en-US" w:eastAsia="zh-CN"/>
        </w:rPr>
      </w:pPr>
      <w:r>
        <w:rPr>
          <w:rFonts w:hint="eastAsia" w:ascii="黑体" w:hAnsi="黑体" w:eastAsia="黑体" w:cs="Times New Roman"/>
          <w:bCs/>
          <w:kern w:val="0"/>
          <w:sz w:val="28"/>
          <w:szCs w:val="28"/>
        </w:rPr>
        <w:br w:type="page"/>
      </w:r>
      <w:r>
        <w:rPr>
          <w:rFonts w:hint="eastAsia" w:ascii="黑体" w:hAnsi="黑体" w:eastAsia="黑体" w:cs="Times New Roman"/>
          <w:bCs/>
          <w:kern w:val="0"/>
          <w:sz w:val="32"/>
          <w:szCs w:val="32"/>
        </w:rPr>
        <w:t>附录</w:t>
      </w:r>
      <w:r>
        <w:rPr>
          <w:rFonts w:hint="eastAsia" w:ascii="黑体" w:hAnsi="黑体" w:eastAsia="黑体" w:cs="Times New Roman"/>
          <w:bCs/>
          <w:kern w:val="0"/>
          <w:sz w:val="32"/>
          <w:szCs w:val="32"/>
          <w:lang w:val="en-US" w:eastAsia="zh-CN"/>
        </w:rPr>
        <w:t>F</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宋体" w:hAnsi="宋体" w:eastAsia="宋体"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“二检合一”</w:t>
      </w:r>
      <w:r>
        <w:rPr>
          <w:rFonts w:hint="eastAsia" w:ascii="方正小标宋简体" w:hAnsi="方正小标宋简体" w:eastAsia="方正小标宋简体" w:cs="方正小标宋简体"/>
          <w:b w:val="0"/>
          <w:bCs/>
          <w:kern w:val="0"/>
          <w:sz w:val="44"/>
          <w:szCs w:val="44"/>
          <w:lang w:eastAsia="zh-CN"/>
        </w:rPr>
        <w:t>专项</w:t>
      </w:r>
      <w:r>
        <w:rPr>
          <w:rFonts w:hint="eastAsia" w:ascii="方正小标宋简体" w:hAnsi="方正小标宋简体" w:eastAsia="方正小标宋简体" w:cs="方正小标宋简体"/>
          <w:b w:val="0"/>
          <w:bCs/>
          <w:kern w:val="0"/>
          <w:sz w:val="44"/>
          <w:szCs w:val="44"/>
        </w:rPr>
        <w:t>计量授权</w:t>
      </w:r>
    </w:p>
    <w:p>
      <w:pPr>
        <w:keepNext w:val="0"/>
        <w:keepLines w:val="0"/>
        <w:pageBreakBefore w:val="0"/>
        <w:widowControl w:val="0"/>
        <w:kinsoku/>
        <w:wordWrap/>
        <w:overflowPunct/>
        <w:topLinePunct w:val="0"/>
        <w:autoSpaceDE/>
        <w:autoSpaceDN/>
        <w:bidi w:val="0"/>
        <w:adjustRightInd/>
        <w:snapToGrid/>
        <w:spacing w:after="0" w:line="690" w:lineRule="exact"/>
        <w:ind w:left="0" w:right="0" w:firstLine="0" w:firstLineChars="0"/>
        <w:jc w:val="center"/>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val="0"/>
        <w:kinsoku/>
        <w:wordWrap/>
        <w:overflowPunct/>
        <w:topLinePunct w:val="0"/>
        <w:autoSpaceDE/>
        <w:autoSpaceDN/>
        <w:bidi w:val="0"/>
        <w:adjustRightInd/>
        <w:snapToGrid/>
        <w:spacing w:after="0" w:line="690" w:lineRule="exact"/>
        <w:ind w:left="0" w:right="0" w:firstLine="0" w:firstLineChars="0"/>
        <w:jc w:val="center"/>
        <w:textAlignment w:val="auto"/>
        <w:rPr>
          <w:rFonts w:hint="eastAsia" w:ascii="方正小标宋简体" w:hAnsi="方正小标宋简体" w:eastAsia="方正小标宋简体" w:cs="方正小标宋简体"/>
          <w:b w:val="0"/>
          <w:bCs/>
          <w:kern w:val="0"/>
          <w:sz w:val="44"/>
          <w:szCs w:val="44"/>
        </w:rPr>
      </w:pPr>
    </w:p>
    <w:p>
      <w:pPr>
        <w:keepNext w:val="0"/>
        <w:keepLines w:val="0"/>
        <w:pageBreakBefore w:val="0"/>
        <w:widowControl w:val="0"/>
        <w:kinsoku/>
        <w:wordWrap/>
        <w:overflowPunct/>
        <w:topLinePunct w:val="0"/>
        <w:autoSpaceDE/>
        <w:autoSpaceDN/>
        <w:bidi w:val="0"/>
        <w:adjustRightInd/>
        <w:snapToGrid/>
        <w:spacing w:after="0" w:line="1100" w:lineRule="exact"/>
        <w:ind w:left="0" w:right="0" w:firstLine="0" w:firstLineChars="0"/>
        <w:jc w:val="center"/>
        <w:textAlignment w:val="auto"/>
        <w:rPr>
          <w:rFonts w:hint="eastAsia" w:ascii="方正小标宋简体" w:hAnsi="方正小标宋简体" w:eastAsia="方正小标宋简体" w:cs="方正小标宋简体"/>
          <w:b w:val="0"/>
          <w:bCs/>
          <w:kern w:val="0"/>
          <w:sz w:val="76"/>
          <w:szCs w:val="76"/>
        </w:rPr>
      </w:pPr>
      <w:r>
        <w:rPr>
          <w:rFonts w:hint="eastAsia" w:ascii="方正小标宋简体" w:hAnsi="方正小标宋简体" w:eastAsia="方正小标宋简体" w:cs="方正小标宋简体"/>
          <w:b w:val="0"/>
          <w:bCs/>
          <w:kern w:val="0"/>
          <w:sz w:val="76"/>
          <w:szCs w:val="76"/>
        </w:rPr>
        <w:t>考  核  报  告</w:t>
      </w: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0" w:firstLineChars="0"/>
        <w:jc w:val="left"/>
        <w:textAlignment w:val="auto"/>
        <w:rPr>
          <w:rFonts w:hint="eastAsia" w:ascii="宋体" w:hAnsi="宋体" w:eastAsia="宋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0" w:firstLineChars="0"/>
        <w:jc w:val="left"/>
        <w:textAlignment w:val="auto"/>
        <w:rPr>
          <w:rFonts w:hint="eastAsia" w:ascii="宋体" w:hAnsi="宋体" w:eastAsia="宋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ind w:left="0" w:right="0" w:firstLine="0" w:firstLineChars="0"/>
        <w:jc w:val="left"/>
        <w:textAlignment w:val="auto"/>
        <w:rPr>
          <w:rFonts w:hint="eastAsia" w:ascii="宋体" w:hAnsi="宋体" w:eastAsia="宋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after="0" w:line="800" w:lineRule="exact"/>
        <w:ind w:left="0" w:right="0" w:firstLine="0" w:firstLineChars="0"/>
        <w:jc w:val="left"/>
        <w:textAlignment w:val="auto"/>
        <w:rPr>
          <w:rFonts w:hint="eastAsia" w:ascii="宋体" w:hAnsi="宋体" w:eastAsia="宋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default" w:ascii="宋体" w:hAnsi="宋体" w:eastAsia="宋体" w:cs="Times New Roman"/>
          <w:b/>
          <w:bCs/>
          <w:kern w:val="0"/>
          <w:sz w:val="32"/>
          <w:szCs w:val="32"/>
          <w:lang w:val="en-US" w:eastAsia="zh-CN"/>
        </w:rPr>
      </w:pPr>
      <w:r>
        <w:rPr>
          <w:rFonts w:hint="eastAsia" w:ascii="宋体" w:hAnsi="宋体" w:eastAsia="宋体" w:cs="Times New Roman"/>
          <w:kern w:val="0"/>
          <w:sz w:val="32"/>
          <w:szCs w:val="32"/>
        </w:rPr>
        <w:t>申请考核企业</w:t>
      </w:r>
      <w:r>
        <w:rPr>
          <w:rFonts w:hint="eastAsia" w:ascii="宋体" w:hAnsi="宋体" w:cs="Times New Roman"/>
          <w:kern w:val="0"/>
          <w:sz w:val="32"/>
          <w:szCs w:val="32"/>
          <w:lang w:val="en-US" w:eastAsia="zh-CN"/>
        </w:rPr>
        <w:t>:</w:t>
      </w:r>
      <w:r>
        <w:rPr>
          <w:rFonts w:hint="eastAsia" w:ascii="宋体" w:hAnsi="宋体" w:cs="Times New Roman"/>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组织考核单位:</w:t>
      </w:r>
      <w:r>
        <w:rPr>
          <w:rFonts w:hint="eastAsia" w:ascii="宋体" w:hAnsi="宋体" w:cs="Times New Roman"/>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shd w:val="clear" w:color="auto" w:fill="auto"/>
        </w:rPr>
      </w:pPr>
      <w:r>
        <w:rPr>
          <w:rFonts w:hint="eastAsia" w:ascii="宋体" w:hAnsi="宋体" w:eastAsia="宋体" w:cs="Times New Roman"/>
          <w:kern w:val="0"/>
          <w:sz w:val="32"/>
          <w:szCs w:val="32"/>
          <w:shd w:val="clear" w:color="auto" w:fill="auto"/>
        </w:rPr>
        <w:t>考 核 日 期</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年</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月</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日至</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月</w:t>
      </w:r>
      <w:r>
        <w:rPr>
          <w:rFonts w:hint="eastAsia" w:ascii="宋体" w:hAnsi="宋体" w:eastAsia="宋体" w:cs="Times New Roman"/>
          <w:kern w:val="0"/>
          <w:sz w:val="32"/>
          <w:szCs w:val="32"/>
          <w:shd w:val="clear" w:color="auto" w:fill="auto"/>
          <w:lang w:val="en-US" w:eastAsia="zh-CN"/>
        </w:rPr>
        <w:t xml:space="preserve">      </w:t>
      </w:r>
      <w:r>
        <w:rPr>
          <w:rFonts w:hint="eastAsia" w:ascii="宋体" w:hAnsi="宋体" w:eastAsia="宋体" w:cs="Times New Roman"/>
          <w:kern w:val="0"/>
          <w:sz w:val="32"/>
          <w:szCs w:val="32"/>
          <w:shd w:val="clear" w:color="auto" w:fill="auto"/>
        </w:rPr>
        <w:t>日</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cs="Times New Roman"/>
          <w:kern w:val="0"/>
          <w:sz w:val="32"/>
          <w:szCs w:val="32"/>
          <w:lang w:eastAsia="zh-CN"/>
        </w:rPr>
      </w:pPr>
      <w:r>
        <w:rPr>
          <w:rFonts w:hint="eastAsia" w:ascii="宋体" w:hAnsi="宋体" w:eastAsia="宋体" w:cs="Times New Roman"/>
          <w:spacing w:val="11"/>
          <w:kern w:val="0"/>
          <w:sz w:val="32"/>
          <w:szCs w:val="32"/>
        </w:rPr>
        <w:t>考 核 组 长:</w:t>
      </w:r>
      <w:r>
        <w:rPr>
          <w:rFonts w:hint="eastAsia" w:ascii="宋体" w:hAnsi="宋体" w:cs="Times New Roman"/>
          <w:kern w:val="0"/>
          <w:sz w:val="32"/>
          <w:szCs w:val="32"/>
          <w:u w:val="single"/>
          <w:lang w:val="en-US" w:eastAsia="zh-CN"/>
        </w:rPr>
        <w:t xml:space="preserve">                                    </w:t>
      </w:r>
      <w:r>
        <w:rPr>
          <w:rFonts w:hint="eastAsia" w:ascii="宋体" w:hAnsi="宋体" w:cs="Times New Roman"/>
          <w:kern w:val="0"/>
          <w:sz w:val="32"/>
          <w:szCs w:val="32"/>
          <w:lang w:eastAsia="zh-CN"/>
        </w:rPr>
        <w:t>（</w:t>
      </w:r>
      <w:r>
        <w:rPr>
          <w:rFonts w:hint="eastAsia" w:ascii="宋体" w:hAnsi="宋体" w:eastAsia="宋体" w:cs="Times New Roman"/>
          <w:kern w:val="0"/>
          <w:sz w:val="32"/>
          <w:szCs w:val="32"/>
        </w:rPr>
        <w:t>签字</w:t>
      </w:r>
      <w:r>
        <w:rPr>
          <w:rFonts w:hint="eastAsia" w:ascii="宋体" w:hAnsi="宋体"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left"/>
        <w:textAlignment w:val="auto"/>
        <w:rPr>
          <w:rFonts w:hint="eastAsia" w:ascii="宋体" w:hAnsi="宋体" w:eastAsia="宋体" w:cs="Times New Roman"/>
          <w:kern w:val="0"/>
          <w:sz w:val="32"/>
          <w:szCs w:val="32"/>
        </w:rPr>
      </w:pPr>
      <w:r>
        <w:rPr>
          <w:rFonts w:hint="eastAsia" w:ascii="宋体" w:hAnsi="宋体" w:eastAsia="宋体" w:cs="Times New Roman"/>
          <w:spacing w:val="11"/>
          <w:kern w:val="0"/>
          <w:sz w:val="32"/>
          <w:szCs w:val="32"/>
        </w:rPr>
        <w:t>签 发 日 期:</w:t>
      </w:r>
      <w:r>
        <w:rPr>
          <w:rFonts w:hint="eastAsia" w:ascii="宋体" w:hAnsi="宋体" w:cs="Times New Roman"/>
          <w:kern w:val="0"/>
          <w:sz w:val="32"/>
          <w:szCs w:val="32"/>
          <w:u w:val="single"/>
          <w:lang w:val="en-US" w:eastAsia="zh-CN"/>
        </w:rPr>
        <w:t xml:space="preserve">                  </w:t>
      </w:r>
      <w:r>
        <w:rPr>
          <w:rFonts w:hint="eastAsia" w:ascii="宋体" w:hAnsi="宋体" w:eastAsia="宋体" w:cs="Times New Roman"/>
          <w:kern w:val="0"/>
          <w:sz w:val="32"/>
          <w:szCs w:val="32"/>
        </w:rPr>
        <w:t>年</w:t>
      </w:r>
      <w:r>
        <w:rPr>
          <w:rFonts w:hint="eastAsia" w:ascii="宋体" w:hAnsi="宋体" w:cs="Times New Roman"/>
          <w:kern w:val="0"/>
          <w:sz w:val="32"/>
          <w:szCs w:val="32"/>
          <w:u w:val="single"/>
          <w:lang w:val="en-US" w:eastAsia="zh-CN"/>
        </w:rPr>
        <w:t xml:space="preserve">         </w:t>
      </w:r>
      <w:r>
        <w:rPr>
          <w:rFonts w:hint="eastAsia" w:ascii="宋体" w:hAnsi="宋体" w:eastAsia="宋体" w:cs="Times New Roman"/>
          <w:kern w:val="0"/>
          <w:sz w:val="32"/>
          <w:szCs w:val="32"/>
        </w:rPr>
        <w:t>月</w:t>
      </w:r>
      <w:r>
        <w:rPr>
          <w:rFonts w:hint="eastAsia" w:ascii="宋体" w:hAnsi="宋体" w:cs="Times New Roman"/>
          <w:kern w:val="0"/>
          <w:sz w:val="32"/>
          <w:szCs w:val="32"/>
          <w:u w:val="single"/>
          <w:lang w:val="en-US" w:eastAsia="zh-CN"/>
        </w:rPr>
        <w:t xml:space="preserve">         </w:t>
      </w:r>
      <w:r>
        <w:rPr>
          <w:rFonts w:hint="eastAsia" w:ascii="宋体" w:hAnsi="宋体" w:eastAsia="宋体" w:cs="Times New Roman"/>
          <w:kern w:val="0"/>
          <w:sz w:val="32"/>
          <w:szCs w:val="32"/>
        </w:rPr>
        <w:t>日</w:t>
      </w:r>
    </w:p>
    <w:p>
      <w:pPr>
        <w:rPr>
          <w:rFonts w:hint="eastAsia" w:ascii="宋体" w:hAnsi="宋体" w:eastAsia="宋体" w:cs="Times New Roman"/>
          <w:kern w:val="0"/>
          <w:sz w:val="32"/>
          <w:szCs w:val="32"/>
        </w:rPr>
      </w:pPr>
      <w:r>
        <w:rPr>
          <w:rFonts w:hint="eastAsia" w:ascii="宋体" w:hAnsi="宋体" w:eastAsia="宋体" w:cs="Times New Roman"/>
          <w:kern w:val="0"/>
          <w:sz w:val="32"/>
          <w:szCs w:val="32"/>
        </w:rPr>
        <w:br w:type="page"/>
      </w:r>
    </w:p>
    <w:p>
      <w:pPr>
        <w:keepNext w:val="0"/>
        <w:keepLines w:val="0"/>
        <w:pageBreakBefore w:val="0"/>
        <w:widowControl w:val="0"/>
        <w:kinsoku/>
        <w:wordWrap/>
        <w:overflowPunct/>
        <w:topLinePunct w:val="0"/>
        <w:autoSpaceDE/>
        <w:autoSpaceDN/>
        <w:bidi w:val="0"/>
        <w:snapToGrid/>
        <w:spacing w:after="0" w:line="560" w:lineRule="exact"/>
        <w:ind w:left="0" w:right="0" w:firstLine="560" w:firstLineChars="200"/>
        <w:textAlignment w:val="auto"/>
        <w:rPr>
          <w:rFonts w:ascii="Times New Roman" w:hAnsi="Times New Roman" w:cs="Times New Roman"/>
          <w:kern w:val="0"/>
          <w:sz w:val="28"/>
          <w:szCs w:val="28"/>
        </w:rPr>
      </w:pPr>
      <w:r>
        <w:rPr>
          <w:rFonts w:ascii="Times New Roman" w:hAnsi="Times New Roman" w:cs="Times New Roman"/>
          <w:kern w:val="0"/>
          <w:sz w:val="28"/>
          <w:szCs w:val="28"/>
        </w:rPr>
        <w:t>受_____________委托</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考核组按《</w:t>
      </w:r>
      <w:r>
        <w:rPr>
          <w:rFonts w:hint="eastAsia" w:ascii="Times New Roman" w:hAnsi="Times New Roman" w:cs="Times New Roman"/>
          <w:kern w:val="0"/>
          <w:sz w:val="28"/>
          <w:szCs w:val="28"/>
          <w:lang w:eastAsia="zh-CN"/>
        </w:rPr>
        <w:t>河南省</w:t>
      </w:r>
      <w:r>
        <w:rPr>
          <w:rFonts w:ascii="Times New Roman" w:hAnsi="Times New Roman" w:cs="Times New Roman"/>
          <w:kern w:val="0"/>
          <w:sz w:val="28"/>
          <w:szCs w:val="28"/>
        </w:rPr>
        <w:t>民用水表、燃气表生产企业</w:t>
      </w:r>
      <w:r>
        <w:rPr>
          <w:rFonts w:hint="eastAsia" w:ascii="Times New Roman" w:hAnsi="Times New Roman" w:cs="Times New Roman"/>
          <w:kern w:val="0"/>
          <w:sz w:val="28"/>
          <w:szCs w:val="28"/>
        </w:rPr>
        <w:t>“二检合一”</w:t>
      </w:r>
      <w:r>
        <w:rPr>
          <w:rFonts w:hint="eastAsia" w:ascii="Times New Roman" w:hAnsi="Times New Roman" w:cs="Times New Roman"/>
          <w:kern w:val="0"/>
          <w:sz w:val="28"/>
          <w:szCs w:val="28"/>
          <w:lang w:eastAsia="zh-CN"/>
        </w:rPr>
        <w:t>专项</w:t>
      </w:r>
      <w:r>
        <w:rPr>
          <w:rFonts w:ascii="Times New Roman" w:hAnsi="Times New Roman" w:cs="Times New Roman"/>
          <w:kern w:val="0"/>
          <w:sz w:val="28"/>
          <w:szCs w:val="28"/>
        </w:rPr>
        <w:t>计量授权考核细则》，对________________进行了全面的考核</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 xml:space="preserve"> 现将考核结果报告如下</w:t>
      </w:r>
      <w:r>
        <w:rPr>
          <w:rFonts w:hint="eastAsia" w:ascii="Times New Roman" w:hAnsi="Times New Roman"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1</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概    况</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名    称：</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地    址：</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邮政编码：</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主管部门：</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法定代表人：</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电    话：</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传    真：</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E-mail：</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联系人：</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电  话：</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传  真：</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E-mail：</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2</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考核结果汇总，见表F1考核结果汇总表</w:t>
      </w:r>
    </w:p>
    <w:p>
      <w:pPr>
        <w:keepNext w:val="0"/>
        <w:keepLines w:val="0"/>
        <w:pageBreakBefore w:val="0"/>
        <w:widowControl w:val="0"/>
        <w:kinsoku/>
        <w:wordWrap/>
        <w:overflowPunct/>
        <w:topLinePunct w:val="0"/>
        <w:autoSpaceDE/>
        <w:autoSpaceDN/>
        <w:bidi w:val="0"/>
        <w:adjustRightInd w:val="0"/>
        <w:snapToGrid/>
        <w:spacing w:after="0" w:line="560" w:lineRule="exact"/>
        <w:ind w:left="1399" w:leftChars="266" w:right="0" w:hanging="840" w:hangingChars="300"/>
        <w:jc w:val="left"/>
        <w:textAlignment w:val="auto"/>
        <w:rPr>
          <w:rFonts w:ascii="Times New Roman" w:hAnsi="Times New Roman" w:cs="Times New Roman"/>
          <w:b w:val="0"/>
          <w:bCs w:val="0"/>
          <w:color w:val="000000" w:themeColor="text1"/>
          <w:kern w:val="0"/>
          <w:sz w:val="28"/>
          <w:szCs w:val="28"/>
          <w14:textFill>
            <w14:solidFill>
              <w14:schemeClr w14:val="tx1"/>
            </w14:solidFill>
          </w14:textFill>
        </w:rPr>
      </w:pPr>
      <w:r>
        <w:rPr>
          <w:rFonts w:ascii="Times New Roman" w:hAnsi="Times New Roman" w:cs="Times New Roman"/>
          <w:b w:val="0"/>
          <w:bCs w:val="0"/>
          <w:color w:val="000000" w:themeColor="text1"/>
          <w:kern w:val="0"/>
          <w:sz w:val="28"/>
          <w:szCs w:val="28"/>
          <w14:textFill>
            <w14:solidFill>
              <w14:schemeClr w14:val="tx1"/>
            </w14:solidFill>
          </w14:textFill>
        </w:rPr>
        <w:t>3</w:t>
      </w:r>
      <w:r>
        <w:rPr>
          <w:rFonts w:hint="eastAsia" w:ascii="Times New Roman" w:hAnsi="Times New Roman" w:cs="Times New Roman"/>
          <w:b w:val="0"/>
          <w:bCs w:val="0"/>
          <w:color w:val="000000" w:themeColor="text1"/>
          <w:kern w:val="0"/>
          <w:sz w:val="28"/>
          <w:szCs w:val="28"/>
          <w:lang w:eastAsia="zh-CN"/>
          <w14:textFill>
            <w14:solidFill>
              <w14:schemeClr w14:val="tx1"/>
            </w14:solidFill>
          </w14:textFill>
        </w:rPr>
        <w:t>、</w:t>
      </w:r>
      <w:r>
        <w:rPr>
          <w:rFonts w:ascii="Times New Roman" w:hAnsi="Times New Roman" w:cs="Times New Roman"/>
          <w:b w:val="0"/>
          <w:bCs w:val="0"/>
          <w:color w:val="000000" w:themeColor="text1"/>
          <w:kern w:val="0"/>
          <w:sz w:val="28"/>
          <w:szCs w:val="28"/>
          <w14:textFill>
            <w14:solidFill>
              <w14:schemeClr w14:val="tx1"/>
            </w14:solidFill>
          </w14:textFill>
        </w:rPr>
        <w:t>不符合项/缺陷项及整改要求，见不符合项/缺陷项记录表，共计</w:t>
      </w:r>
    </w:p>
    <w:p>
      <w:pPr>
        <w:keepNext w:val="0"/>
        <w:keepLines w:val="0"/>
        <w:pageBreakBefore w:val="0"/>
        <w:widowControl w:val="0"/>
        <w:kinsoku/>
        <w:wordWrap/>
        <w:overflowPunct/>
        <w:topLinePunct w:val="0"/>
        <w:autoSpaceDE/>
        <w:autoSpaceDN/>
        <w:bidi w:val="0"/>
        <w:adjustRightInd w:val="0"/>
        <w:snapToGrid/>
        <w:spacing w:after="0" w:line="560" w:lineRule="exact"/>
        <w:ind w:left="1399" w:leftChars="266" w:right="0" w:hanging="840" w:hangingChars="300"/>
        <w:jc w:val="left"/>
        <w:textAlignment w:val="auto"/>
        <w:rPr>
          <w:rFonts w:ascii="Times New Roman" w:hAnsi="Times New Roman" w:cs="Times New Roman"/>
          <w:b w:val="0"/>
          <w:bCs w:val="0"/>
          <w:color w:val="000000" w:themeColor="text1"/>
          <w:kern w:val="0"/>
          <w:sz w:val="28"/>
          <w:szCs w:val="28"/>
          <w14:textFill>
            <w14:solidFill>
              <w14:schemeClr w14:val="tx1"/>
            </w14:solidFill>
          </w14:textFill>
        </w:rPr>
      </w:pPr>
      <w:r>
        <w:rPr>
          <w:rFonts w:hint="eastAsia" w:ascii="Times New Roman" w:hAnsi="Times New Roman" w:cs="Times New Roman"/>
          <w:b w:val="0"/>
          <w:bCs w:val="0"/>
          <w:color w:val="000000" w:themeColor="text1"/>
          <w:kern w:val="0"/>
          <w:sz w:val="28"/>
          <w:szCs w:val="28"/>
          <w:u w:val="single"/>
          <w:lang w:val="en-US" w:eastAsia="zh-CN"/>
          <w14:textFill>
            <w14:solidFill>
              <w14:schemeClr w14:val="tx1"/>
            </w14:solidFill>
          </w14:textFill>
        </w:rPr>
        <w:t xml:space="preserve">        </w:t>
      </w:r>
      <w:r>
        <w:rPr>
          <w:rFonts w:ascii="Times New Roman" w:hAnsi="Times New Roman" w:cs="Times New Roman"/>
          <w:b w:val="0"/>
          <w:bCs w:val="0"/>
          <w:color w:val="000000" w:themeColor="text1"/>
          <w:kern w:val="0"/>
          <w:sz w:val="28"/>
          <w:szCs w:val="28"/>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b w:val="0"/>
          <w:bCs w:val="0"/>
          <w:color w:val="000000" w:themeColor="text1"/>
          <w:kern w:val="0"/>
          <w:sz w:val="28"/>
          <w:szCs w:val="28"/>
          <w14:textFill>
            <w14:solidFill>
              <w14:schemeClr w14:val="tx1"/>
            </w14:solidFill>
          </w14:textFill>
        </w:rPr>
      </w:pPr>
      <w:r>
        <w:rPr>
          <w:rFonts w:ascii="Times New Roman" w:hAnsi="Times New Roman" w:cs="Times New Roman"/>
          <w:b w:val="0"/>
          <w:bCs w:val="0"/>
          <w:color w:val="000000" w:themeColor="text1"/>
          <w:kern w:val="0"/>
          <w:sz w:val="28"/>
          <w:szCs w:val="28"/>
          <w14:textFill>
            <w14:solidFill>
              <w14:schemeClr w14:val="tx1"/>
            </w14:solidFill>
          </w14:textFill>
        </w:rPr>
        <w:t>4</w:t>
      </w:r>
      <w:r>
        <w:rPr>
          <w:rFonts w:hint="eastAsia" w:ascii="Times New Roman" w:hAnsi="Times New Roman" w:cs="Times New Roman"/>
          <w:b w:val="0"/>
          <w:bCs w:val="0"/>
          <w:color w:val="000000" w:themeColor="text1"/>
          <w:kern w:val="0"/>
          <w:sz w:val="28"/>
          <w:szCs w:val="28"/>
          <w:lang w:eastAsia="zh-CN"/>
          <w14:textFill>
            <w14:solidFill>
              <w14:schemeClr w14:val="tx1"/>
            </w14:solidFill>
          </w14:textFill>
        </w:rPr>
        <w:t>、</w:t>
      </w:r>
      <w:r>
        <w:rPr>
          <w:rFonts w:ascii="Times New Roman" w:hAnsi="Times New Roman" w:cs="Times New Roman"/>
          <w:b w:val="0"/>
          <w:bCs w:val="0"/>
          <w:color w:val="000000" w:themeColor="text1"/>
          <w:kern w:val="0"/>
          <w:sz w:val="28"/>
          <w:szCs w:val="28"/>
          <w14:textFill>
            <w14:solidFill>
              <w14:schemeClr w14:val="tx1"/>
            </w14:solidFill>
          </w14:textFill>
        </w:rPr>
        <w:t>考核结论</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hint="eastAsia" w:ascii="Times New Roman" w:hAnsi="Times New Roman" w:eastAsia="宋体" w:cs="Times New Roman"/>
          <w:b w:val="0"/>
          <w:bCs w:val="0"/>
          <w:color w:val="000000" w:themeColor="text1"/>
          <w:kern w:val="0"/>
          <w:sz w:val="28"/>
          <w:szCs w:val="28"/>
          <w:lang w:eastAsia="zh-CN"/>
          <w14:textFill>
            <w14:solidFill>
              <w14:schemeClr w14:val="tx1"/>
            </w14:solidFill>
          </w14:textFill>
        </w:rPr>
      </w:pPr>
      <w:r>
        <w:rPr>
          <w:rFonts w:ascii="Times New Roman" w:hAnsi="Times New Roman" w:cs="Times New Roman"/>
          <w:b w:val="0"/>
          <w:bCs w:val="0"/>
          <w:color w:val="000000" w:themeColor="text1"/>
          <w:kern w:val="0"/>
          <w:sz w:val="28"/>
          <w:szCs w:val="28"/>
          <w14:textFill>
            <w14:solidFill>
              <w14:schemeClr w14:val="tx1"/>
            </w14:solidFill>
          </w14:textFill>
        </w:rPr>
        <w:t>4.1</w:t>
      </w:r>
      <w:r>
        <w:rPr>
          <w:rFonts w:hint="eastAsia" w:ascii="Times New Roman" w:hAnsi="Times New Roman" w:cs="Times New Roman"/>
          <w:b w:val="0"/>
          <w:bCs w:val="0"/>
          <w:color w:val="000000" w:themeColor="text1"/>
          <w:kern w:val="0"/>
          <w:sz w:val="28"/>
          <w:szCs w:val="28"/>
          <w:lang w:val="en-US" w:eastAsia="zh-CN"/>
          <w14:textFill>
            <w14:solidFill>
              <w14:schemeClr w14:val="tx1"/>
            </w14:solidFill>
          </w14:textFill>
        </w:rPr>
        <w:t xml:space="preserve"> </w:t>
      </w:r>
      <w:r>
        <w:rPr>
          <w:rFonts w:ascii="Times New Roman" w:hAnsi="Times New Roman" w:cs="Times New Roman"/>
          <w:b w:val="0"/>
          <w:bCs w:val="0"/>
          <w:color w:val="000000" w:themeColor="text1"/>
          <w:kern w:val="0"/>
          <w:sz w:val="28"/>
          <w:szCs w:val="28"/>
          <w14:textFill>
            <w14:solidFill>
              <w14:schemeClr w14:val="tx1"/>
            </w14:solidFill>
          </w14:textFill>
        </w:rPr>
        <w:t xml:space="preserve"> 总体评价</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hint="eastAsia" w:ascii="Times New Roman" w:hAnsi="Times New Roman" w:eastAsia="宋体" w:cs="Times New Roman"/>
          <w:b w:val="0"/>
          <w:bCs w:val="0"/>
          <w:color w:val="000000" w:themeColor="text1"/>
          <w:kern w:val="0"/>
          <w:sz w:val="28"/>
          <w:szCs w:val="28"/>
          <w:lang w:eastAsia="zh-CN"/>
          <w14:textFill>
            <w14:solidFill>
              <w14:schemeClr w14:val="tx1"/>
            </w14:solidFill>
          </w14:textFill>
        </w:rPr>
      </w:pPr>
      <w:r>
        <w:rPr>
          <w:rFonts w:hint="eastAsia" w:ascii="Times New Roman" w:hAnsi="Times New Roman" w:cs="Times New Roman"/>
          <w:b w:val="0"/>
          <w:bCs w:val="0"/>
          <w:color w:val="000000" w:themeColor="text1"/>
          <w:kern w:val="0"/>
          <w:sz w:val="28"/>
          <w:szCs w:val="28"/>
          <w:lang w:eastAsia="zh-CN"/>
          <w14:textFill>
            <w14:solidFill>
              <w14:schemeClr w14:val="tx1"/>
            </w14:solidFill>
          </w14:textFill>
        </w:rPr>
        <w:t>考</w:t>
      </w:r>
      <w:r>
        <w:rPr>
          <w:rFonts w:hint="eastAsia" w:ascii="Times New Roman" w:hAnsi="Times New Roman" w:eastAsia="宋体" w:cs="Times New Roman"/>
          <w:b w:val="0"/>
          <w:bCs w:val="0"/>
          <w:color w:val="000000" w:themeColor="text1"/>
          <w:kern w:val="0"/>
          <w:sz w:val="28"/>
          <w:szCs w:val="28"/>
          <w:lang w:eastAsia="zh-CN"/>
          <w14:textFill>
            <w14:solidFill>
              <w14:schemeClr w14:val="tx1"/>
            </w14:solidFill>
          </w14:textFill>
        </w:rPr>
        <w:t>核组应在“总体评价”部分，基于现场考核的客观证据，形成综合性结论。该部分内容应至少包含以下核心要素，并确保结论与“考核结果汇总表”（附表</w:t>
      </w:r>
      <w:r>
        <w:rPr>
          <w:rFonts w:hint="eastAsia" w:asciiTheme="minorEastAsia" w:hAnsiTheme="minorEastAsia" w:eastAsiaTheme="minorEastAsia" w:cstheme="minorEastAsia"/>
          <w:b w:val="0"/>
          <w:bCs w:val="0"/>
          <w:color w:val="000000" w:themeColor="text1"/>
          <w:kern w:val="0"/>
          <w:sz w:val="28"/>
          <w:szCs w:val="28"/>
          <w:lang w:eastAsia="zh-CN"/>
          <w14:textFill>
            <w14:solidFill>
              <w14:schemeClr w14:val="tx1"/>
            </w14:solidFill>
          </w14:textFill>
        </w:rPr>
        <w:t>F1</w:t>
      </w:r>
      <w:r>
        <w:rPr>
          <w:rFonts w:hint="eastAsia" w:ascii="Times New Roman" w:hAnsi="Times New Roman" w:eastAsia="宋体" w:cs="Times New Roman"/>
          <w:b w:val="0"/>
          <w:bCs w:val="0"/>
          <w:color w:val="000000" w:themeColor="text1"/>
          <w:kern w:val="0"/>
          <w:sz w:val="28"/>
          <w:szCs w:val="28"/>
          <w:lang w:eastAsia="zh-CN"/>
          <w14:textFill>
            <w14:solidFill>
              <w14:schemeClr w14:val="tx1"/>
            </w14:solidFill>
          </w14:textFill>
        </w:rPr>
        <w:t>）和“二检合一”改革的核心要求内在逻辑一致：</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hint="eastAsia" w:ascii="Times New Roman" w:hAnsi="Times New Roman" w:eastAsia="宋体" w:cs="Times New Roman"/>
          <w:b w:val="0"/>
          <w:bCs w:val="0"/>
          <w:color w:val="000000" w:themeColor="text1"/>
          <w:kern w:val="0"/>
          <w:sz w:val="28"/>
          <w:szCs w:val="28"/>
          <w14:textFill>
            <w14:solidFill>
              <w14:schemeClr w14:val="tx1"/>
            </w14:solidFill>
          </w14:textFill>
        </w:rPr>
      </w:pPr>
      <w:r>
        <w:rPr>
          <w:rFonts w:hint="eastAsia" w:ascii="Times New Roman" w:hAnsi="Times New Roman" w:eastAsia="宋体" w:cs="Times New Roman"/>
          <w:b w:val="0"/>
          <w:bCs w:val="0"/>
          <w:color w:val="000000" w:themeColor="text1"/>
          <w:kern w:val="0"/>
          <w:sz w:val="28"/>
          <w:szCs w:val="28"/>
          <w14:textFill>
            <w14:solidFill>
              <w14:schemeClr w14:val="tx1"/>
            </w14:solidFill>
          </w14:textFill>
        </w:rPr>
        <w:t>（1）核心能保证单台产品计量性能合格，并致力于使每批次产品的平均示值误差趋向于零。绝不允许任何未经检定或检定不合格的表具出厂。综合保障能力。</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hint="eastAsia" w:ascii="Times New Roman" w:hAnsi="Times New Roman" w:eastAsia="宋体" w:cs="Times New Roman"/>
          <w:b w:val="0"/>
          <w:bCs w:val="0"/>
          <w:color w:val="000000" w:themeColor="text1"/>
          <w:kern w:val="0"/>
          <w:sz w:val="28"/>
          <w:szCs w:val="28"/>
          <w14:textFill>
            <w14:solidFill>
              <w14:schemeClr w14:val="tx1"/>
            </w14:solidFill>
          </w14:textFill>
        </w:rPr>
      </w:pPr>
      <w:r>
        <w:rPr>
          <w:rFonts w:hint="eastAsia" w:ascii="Times New Roman" w:hAnsi="Times New Roman" w:eastAsia="宋体" w:cs="Times New Roman"/>
          <w:b w:val="0"/>
          <w:bCs w:val="0"/>
          <w:color w:val="000000" w:themeColor="text1"/>
          <w:kern w:val="0"/>
          <w:sz w:val="28"/>
          <w:szCs w:val="28"/>
          <w14:textFill>
            <w14:solidFill>
              <w14:schemeClr w14:val="tx1"/>
            </w14:solidFill>
          </w14:textFill>
        </w:rPr>
        <w:t>（2）信息化与智慧监管能力：必须单独、明确地评价企业是否具备与 “河南智慧计量监管平台” 实现数据对接的技术条件和管理能力。这是“二检合一”改革有效实施和事中事后监管的基础。</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hint="eastAsia" w:ascii="Times New Roman" w:hAnsi="Times New Roman" w:eastAsia="宋体" w:cs="Times New Roman"/>
          <w:b w:val="0"/>
          <w:bCs w:val="0"/>
          <w:color w:val="000000" w:themeColor="text1"/>
          <w:kern w:val="0"/>
          <w:sz w:val="28"/>
          <w:szCs w:val="28"/>
          <w14:textFill>
            <w14:solidFill>
              <w14:schemeClr w14:val="tx1"/>
            </w14:solidFill>
          </w14:textFill>
        </w:rPr>
      </w:pPr>
      <w:r>
        <w:rPr>
          <w:rFonts w:hint="eastAsia" w:ascii="Times New Roman" w:hAnsi="Times New Roman" w:eastAsia="宋体" w:cs="Times New Roman"/>
          <w:b w:val="0"/>
          <w:bCs w:val="0"/>
          <w:color w:val="000000" w:themeColor="text1"/>
          <w:kern w:val="0"/>
          <w:sz w:val="28"/>
          <w:szCs w:val="28"/>
          <w14:textFill>
            <w14:solidFill>
              <w14:schemeClr w14:val="tx1"/>
            </w14:solidFill>
          </w14:textFill>
        </w:rPr>
        <w:t>（3）管理体系与资源保障的综合评判：基于附表</w:t>
      </w:r>
      <w:r>
        <w:rPr>
          <w:rFonts w:hint="eastAsia" w:asciiTheme="minorEastAsia" w:hAnsiTheme="minorEastAsia" w:eastAsiaTheme="minorEastAsia" w:cstheme="minorEastAsia"/>
          <w:b w:val="0"/>
          <w:bCs w:val="0"/>
          <w:color w:val="000000" w:themeColor="text1"/>
          <w:kern w:val="0"/>
          <w:sz w:val="28"/>
          <w:szCs w:val="28"/>
          <w:lang w:eastAsia="zh-CN"/>
          <w14:textFill>
            <w14:solidFill>
              <w14:schemeClr w14:val="tx1"/>
            </w14:solidFill>
          </w14:textFill>
        </w:rPr>
        <w:t>F1</w:t>
      </w:r>
      <w:r>
        <w:rPr>
          <w:rFonts w:hint="eastAsia" w:ascii="Times New Roman" w:hAnsi="Times New Roman" w:eastAsia="宋体" w:cs="Times New Roman"/>
          <w:b w:val="0"/>
          <w:bCs w:val="0"/>
          <w:color w:val="000000" w:themeColor="text1"/>
          <w:kern w:val="0"/>
          <w:sz w:val="28"/>
          <w:szCs w:val="28"/>
          <w14:textFill>
            <w14:solidFill>
              <w14:schemeClr w14:val="tx1"/>
            </w14:solidFill>
          </w14:textFill>
        </w:rPr>
        <w:t>的条款考核结果，对企业管理体系运行的有效性、资源配置（人员、设备、环境）的充分性进行总体评估。</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eastAsia="宋体" w:cs="Times New Roman"/>
          <w:b w:val="0"/>
          <w:bCs w:val="0"/>
          <w:color w:val="000000" w:themeColor="text1"/>
          <w:kern w:val="0"/>
          <w:sz w:val="28"/>
          <w:szCs w:val="28"/>
          <w14:textFill>
            <w14:solidFill>
              <w14:schemeClr w14:val="tx1"/>
            </w14:solidFill>
          </w14:textFill>
        </w:rPr>
      </w:pPr>
      <w:r>
        <w:rPr>
          <w:rFonts w:hint="eastAsia" w:ascii="Times New Roman" w:hAnsi="Times New Roman" w:eastAsia="宋体" w:cs="Times New Roman"/>
          <w:b w:val="0"/>
          <w:bCs w:val="0"/>
          <w:color w:val="000000" w:themeColor="text1"/>
          <w:kern w:val="0"/>
          <w:sz w:val="28"/>
          <w:szCs w:val="28"/>
          <w:lang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8"/>
          <w:szCs w:val="28"/>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kern w:val="0"/>
          <w:sz w:val="28"/>
          <w:szCs w:val="28"/>
          <w:lang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8"/>
          <w:szCs w:val="28"/>
          <w14:textFill>
            <w14:solidFill>
              <w14:schemeClr w14:val="tx1"/>
            </w14:solidFill>
          </w14:textFill>
        </w:rPr>
        <w:t>诚信与责任机制评价：评价企业在法律责任主体明确、履行《诚信计量承诺书》以及接受监督管理机制方面的落实情况。</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right="0" w:rightChars="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  申请考核项目确认</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4.2.1  合格项目</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考核项目表序号：</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4.2.2  需要整改项目</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考核项目表序号： </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4.2.3  不合格项目</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 xml:space="preserve">     考核项目表序号： </w:t>
      </w:r>
    </w:p>
    <w:p>
      <w:pPr>
        <w:keepNext w:val="0"/>
        <w:keepLines w:val="0"/>
        <w:pageBreakBefore w:val="0"/>
        <w:widowControl w:val="0"/>
        <w:kinsoku/>
        <w:wordWrap/>
        <w:overflowPunct/>
        <w:topLinePunct w:val="0"/>
        <w:autoSpaceDE/>
        <w:autoSpaceDN/>
        <w:bidi w:val="0"/>
        <w:adjustRightInd w:val="0"/>
        <w:snapToGrid/>
        <w:spacing w:after="0" w:line="56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rPr>
        <w:t>4</w:t>
      </w:r>
      <w:r>
        <w:rPr>
          <w:rFonts w:ascii="Times New Roman" w:hAnsi="Times New Roman" w:cs="Times New Roman"/>
          <w:kern w:val="0"/>
          <w:sz w:val="28"/>
          <w:szCs w:val="28"/>
        </w:rPr>
        <w:t>.3  计量比对、能力验证和现场试验情况</w:t>
      </w:r>
    </w:p>
    <w:p>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4.4  申请企业应于    年    月    日前将整改报告</w:t>
      </w:r>
      <w:r>
        <w:rPr>
          <w:rFonts w:hint="eastAsia" w:ascii="Times New Roman" w:hAnsi="Times New Roman" w:cs="Times New Roman"/>
          <w:kern w:val="0"/>
          <w:sz w:val="28"/>
          <w:szCs w:val="28"/>
          <w:lang w:eastAsia="zh-CN"/>
        </w:rPr>
        <w:t>，</w:t>
      </w:r>
      <w:r>
        <w:rPr>
          <w:rFonts w:ascii="Times New Roman" w:hAnsi="Times New Roman" w:cs="Times New Roman"/>
          <w:kern w:val="0"/>
          <w:sz w:val="28"/>
          <w:szCs w:val="28"/>
        </w:rPr>
        <w:t>包括纠正措施和改正记录，交付         。考核组将于    年    月    日前完成对整改情况的验证。</w:t>
      </w:r>
    </w:p>
    <w:p>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4.5  根据以上考核情况建议</w:t>
      </w:r>
    </w:p>
    <w:p>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lang w:eastAsia="zh-CN"/>
        </w:rPr>
        <w:t>a）</w:t>
      </w:r>
      <w:r>
        <w:rPr>
          <w:rFonts w:ascii="Times New Roman" w:hAnsi="Times New Roman" w:cs="Times New Roman"/>
          <w:kern w:val="0"/>
          <w:sz w:val="28"/>
          <w:szCs w:val="28"/>
        </w:rPr>
        <w:t xml:space="preserve"> 对合格项目给予授权</w:t>
      </w:r>
      <w:bookmarkStart w:id="8" w:name="_Hlk33467846"/>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w:t>
      </w:r>
      <w:bookmarkEnd w:id="8"/>
    </w:p>
    <w:p>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lang w:eastAsia="zh-CN"/>
        </w:rPr>
        <w:t>b）</w:t>
      </w:r>
      <w:r>
        <w:rPr>
          <w:rFonts w:ascii="Times New Roman" w:hAnsi="Times New Roman" w:cs="Times New Roman"/>
          <w:kern w:val="0"/>
          <w:sz w:val="28"/>
          <w:szCs w:val="28"/>
        </w:rPr>
        <w:t xml:space="preserve"> 待整改后对合格项目给予授权</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hint="eastAsia" w:ascii="Times New Roman" w:hAnsi="Times New Roman" w:cs="Times New Roman"/>
          <w:kern w:val="0"/>
          <w:sz w:val="28"/>
          <w:szCs w:val="28"/>
          <w:lang w:eastAsia="zh-CN"/>
        </w:rPr>
        <w:t>c）</w:t>
      </w:r>
      <w:r>
        <w:rPr>
          <w:rFonts w:ascii="Times New Roman" w:hAnsi="Times New Roman" w:cs="Times New Roman"/>
          <w:kern w:val="0"/>
          <w:sz w:val="28"/>
          <w:szCs w:val="28"/>
        </w:rPr>
        <w:t xml:space="preserve"> 由于有重要缺陷</w:t>
      </w:r>
      <w:r>
        <w:rPr>
          <w:rFonts w:hint="eastAsia" w:ascii="Times New Roman" w:hAnsi="Times New Roman" w:cs="Times New Roman"/>
          <w:kern w:val="0"/>
          <w:sz w:val="28"/>
          <w:szCs w:val="28"/>
        </w:rPr>
        <w:t>和（或）</w:t>
      </w:r>
      <w:r>
        <w:rPr>
          <w:rFonts w:ascii="Times New Roman" w:hAnsi="Times New Roman" w:cs="Times New Roman"/>
          <w:kern w:val="0"/>
          <w:sz w:val="28"/>
          <w:szCs w:val="28"/>
        </w:rPr>
        <w:t>不符合项不能给予授权</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w:t>
      </w:r>
      <w:r>
        <w:rPr>
          <w:rFonts w:ascii="Times New Roman" w:hAnsi="Times New Roman" w:cs="Times New Roman"/>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spacing w:after="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注：对选用的建议打√。</w:t>
      </w:r>
    </w:p>
    <w:p>
      <w:pPr>
        <w:keepNext w:val="0"/>
        <w:keepLines w:val="0"/>
        <w:pageBreakBefore w:val="0"/>
        <w:widowControl w:val="0"/>
        <w:kinsoku/>
        <w:wordWrap/>
        <w:overflowPunct/>
        <w:topLinePunct w:val="0"/>
        <w:autoSpaceDE/>
        <w:autoSpaceDN/>
        <w:bidi w:val="0"/>
        <w:adjustRightInd w:val="0"/>
        <w:snapToGrid/>
        <w:spacing w:after="157" w:afterLines="50" w:line="590" w:lineRule="exact"/>
        <w:ind w:left="0" w:right="0" w:firstLine="560" w:firstLineChars="200"/>
        <w:jc w:val="left"/>
        <w:textAlignment w:val="auto"/>
        <w:rPr>
          <w:rFonts w:ascii="Times New Roman" w:hAnsi="Times New Roman" w:cs="Times New Roman"/>
          <w:kern w:val="0"/>
          <w:sz w:val="28"/>
          <w:szCs w:val="28"/>
        </w:rPr>
      </w:pPr>
      <w:r>
        <w:rPr>
          <w:rFonts w:ascii="Times New Roman" w:hAnsi="Times New Roman" w:cs="Times New Roman"/>
          <w:kern w:val="0"/>
          <w:sz w:val="28"/>
          <w:szCs w:val="28"/>
        </w:rPr>
        <w:t>5</w:t>
      </w:r>
      <w:r>
        <w:rPr>
          <w:rFonts w:ascii="Times New Roman" w:hAnsi="Times New Roman" w:cs="Times New Roman"/>
          <w:color w:val="0000FF"/>
          <w:kern w:val="0"/>
          <w:sz w:val="28"/>
          <w:szCs w:val="28"/>
        </w:rPr>
        <w:t>．</w:t>
      </w:r>
      <w:r>
        <w:rPr>
          <w:rFonts w:ascii="Times New Roman" w:hAnsi="Times New Roman" w:cs="Times New Roman"/>
          <w:color w:val="000000" w:themeColor="text1"/>
          <w:kern w:val="0"/>
          <w:sz w:val="28"/>
          <w:szCs w:val="28"/>
          <w14:textFill>
            <w14:solidFill>
              <w14:schemeClr w14:val="tx1"/>
            </w14:solidFill>
          </w14:textFill>
        </w:rPr>
        <w:t>考核组成员签字</w:t>
      </w:r>
      <w:r>
        <w:rPr>
          <w:rFonts w:ascii="Times New Roman" w:hAnsi="Times New Roman" w:cs="Times New Roman"/>
          <w:color w:val="0000FF"/>
          <w:kern w:val="0"/>
          <w:sz w:val="28"/>
          <w:szCs w:val="28"/>
        </w:rPr>
        <w:t xml:space="preserve">  </w:t>
      </w:r>
    </w:p>
    <w:tbl>
      <w:tblPr>
        <w:tblStyle w:val="6"/>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1276"/>
        <w:gridCol w:w="2126"/>
        <w:gridCol w:w="1418"/>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考核组职务</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姓 名</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职  称</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工 作 单 位</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考评员证号</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cs="Times New Roman"/>
                <w:kern w:val="0"/>
                <w:sz w:val="24"/>
                <w:szCs w:val="24"/>
                <w:lang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after="0" w:line="410" w:lineRule="exact"/>
              <w:ind w:left="0" w:right="0" w:firstLine="0" w:firstLineChars="0"/>
              <w:jc w:val="center"/>
              <w:textAlignment w:val="auto"/>
              <w:rPr>
                <w:rFonts w:ascii="Times New Roman" w:hAnsi="Times New Roman" w:cs="Times New Roman"/>
                <w:kern w:val="0"/>
                <w:sz w:val="24"/>
                <w:szCs w:val="24"/>
              </w:rPr>
            </w:pPr>
          </w:p>
        </w:tc>
      </w:tr>
    </w:tbl>
    <w:p>
      <w:pPr>
        <w:keepNext w:val="0"/>
        <w:keepLines w:val="0"/>
        <w:pageBreakBefore w:val="0"/>
        <w:widowControl w:val="0"/>
        <w:kinsoku/>
        <w:wordWrap/>
        <w:overflowPunct/>
        <w:topLinePunct w:val="0"/>
        <w:autoSpaceDE/>
        <w:autoSpaceDN/>
        <w:bidi w:val="0"/>
        <w:spacing w:after="0" w:line="590" w:lineRule="exact"/>
        <w:ind w:left="0" w:right="0" w:firstLine="480" w:firstLineChars="200"/>
        <w:jc w:val="left"/>
        <w:textAlignment w:val="auto"/>
        <w:rPr>
          <w:rFonts w:hint="eastAsia" w:ascii="宋体" w:hAnsi="宋体" w:cs="Times New Roman"/>
          <w:kern w:val="0"/>
          <w:sz w:val="24"/>
          <w:szCs w:val="24"/>
        </w:rPr>
      </w:pPr>
    </w:p>
    <w:p>
      <w:pPr>
        <w:rPr>
          <w:rFonts w:hint="eastAsia" w:ascii="黑体" w:hAnsi="黑体" w:eastAsia="黑体" w:cs="黑体"/>
          <w:bCs/>
          <w:kern w:val="0"/>
          <w:sz w:val="32"/>
          <w:szCs w:val="32"/>
        </w:rPr>
      </w:pPr>
      <w:r>
        <w:rPr>
          <w:rFonts w:hint="eastAsia" w:ascii="黑体" w:hAnsi="黑体" w:eastAsia="黑体" w:cs="黑体"/>
          <w:bCs/>
          <w:kern w:val="0"/>
          <w:sz w:val="32"/>
          <w:szCs w:val="32"/>
        </w:rPr>
        <w:br w:type="page"/>
      </w:r>
    </w:p>
    <w:p>
      <w:pPr>
        <w:keepNext w:val="0"/>
        <w:keepLines w:val="0"/>
        <w:pageBreakBefore w:val="0"/>
        <w:widowControl w:val="0"/>
        <w:kinsoku/>
        <w:wordWrap/>
        <w:overflowPunct/>
        <w:topLinePunct w:val="0"/>
        <w:autoSpaceDE/>
        <w:autoSpaceDN/>
        <w:bidi w:val="0"/>
        <w:adjustRightInd/>
        <w:snapToGrid/>
        <w:spacing w:after="0" w:line="210" w:lineRule="exact"/>
        <w:ind w:right="0"/>
        <w:jc w:val="center"/>
        <w:textAlignment w:val="auto"/>
        <w:rPr>
          <w:rFonts w:hint="eastAsia" w:ascii="黑体" w:hAnsi="黑体" w:eastAsia="黑体" w:cs="黑体"/>
          <w:bCs/>
          <w:kern w:val="0"/>
          <w:sz w:val="32"/>
          <w:szCs w:val="32"/>
        </w:rPr>
      </w:pPr>
    </w:p>
    <w:p>
      <w:pPr>
        <w:keepNext w:val="0"/>
        <w:keepLines w:val="0"/>
        <w:pageBreakBefore w:val="0"/>
        <w:widowControl w:val="0"/>
        <w:kinsoku/>
        <w:wordWrap/>
        <w:overflowPunct/>
        <w:topLinePunct w:val="0"/>
        <w:autoSpaceDE/>
        <w:autoSpaceDN/>
        <w:bidi w:val="0"/>
        <w:adjustRightInd/>
        <w:spacing w:after="0" w:line="590" w:lineRule="exact"/>
        <w:ind w:right="0"/>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表F1  考核结果汇总表</w:t>
      </w:r>
    </w:p>
    <w:p>
      <w:pPr>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jc w:val="righ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第 </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页，共</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 xml:space="preserve"> 页</w:t>
      </w:r>
    </w:p>
    <w:tbl>
      <w:tblPr>
        <w:tblStyle w:val="6"/>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853"/>
        <w:gridCol w:w="760"/>
        <w:gridCol w:w="911"/>
        <w:gridCol w:w="912"/>
        <w:gridCol w:w="91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8"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考核规范条款</w:t>
            </w:r>
          </w:p>
        </w:tc>
        <w:tc>
          <w:tcPr>
            <w:tcW w:w="760" w:type="dxa"/>
            <w:noWrap w:val="0"/>
            <w:vAlign w:val="center"/>
          </w:tcPr>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符合</w:t>
            </w:r>
          </w:p>
        </w:tc>
        <w:tc>
          <w:tcPr>
            <w:tcW w:w="911" w:type="dxa"/>
            <w:noWrap w:val="0"/>
            <w:vAlign w:val="center"/>
          </w:tcPr>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有缺陷</w:t>
            </w:r>
          </w:p>
        </w:tc>
        <w:tc>
          <w:tcPr>
            <w:tcW w:w="912" w:type="dxa"/>
            <w:noWrap w:val="0"/>
            <w:vAlign w:val="center"/>
          </w:tcPr>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不符合</w:t>
            </w:r>
          </w:p>
        </w:tc>
        <w:tc>
          <w:tcPr>
            <w:tcW w:w="911" w:type="dxa"/>
            <w:noWrap w:val="0"/>
            <w:vAlign w:val="center"/>
          </w:tcPr>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不适用</w:t>
            </w:r>
          </w:p>
        </w:tc>
        <w:tc>
          <w:tcPr>
            <w:tcW w:w="2551" w:type="dxa"/>
            <w:noWrap w:val="0"/>
            <w:vAlign w:val="center"/>
          </w:tcPr>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说明（指出不符合项</w:t>
            </w:r>
          </w:p>
          <w:p>
            <w:pPr>
              <w:keepNext w:val="0"/>
              <w:keepLines w:val="0"/>
              <w:pageBreakBefore w:val="0"/>
              <w:widowControl w:val="0"/>
              <w:kinsoku/>
              <w:wordWrap/>
              <w:overflowPunct/>
              <w:topLinePunct w:val="0"/>
              <w:autoSpaceDE/>
              <w:autoSpaceDN/>
              <w:bidi w:val="0"/>
              <w:adjustRightIn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/缺陷项记录表编号）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4.1地位</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4.2责任</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4.3基本条件</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5.1 总体要求</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5.2管理职责</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5.3体系文件</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5.4文件控制</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5.5记录控制</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5.6管理评审</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6.1总则</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6.2人员</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6.3设施和环境条件</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6.4测量设备</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7.1检定方法</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7.2服务和供应品的采购</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7.3分包</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7.4量值溯源</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7.5检定物品的处置</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7.6检定质量的保证</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7.7原始记录和数据处理</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7.8结果报告</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8.1 改进</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8.2 不符合工作的控制</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8.3  内部审核</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8.4  纠正措施</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8.5  预防措施</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285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r>
              <w:rPr>
                <w:rFonts w:hint="eastAsia" w:ascii="黑体" w:hAnsi="黑体" w:eastAsia="黑体" w:cs="黑体"/>
                <w:kern w:val="10"/>
                <w:sz w:val="24"/>
                <w:szCs w:val="24"/>
              </w:rPr>
              <w:t>合计</w:t>
            </w:r>
          </w:p>
        </w:tc>
        <w:tc>
          <w:tcPr>
            <w:tcW w:w="76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right="0" w:firstLine="0" w:firstLineChars="0"/>
              <w:jc w:val="left"/>
              <w:textAlignment w:val="auto"/>
              <w:rPr>
                <w:rFonts w:hint="eastAsia" w:ascii="黑体" w:hAnsi="黑体" w:eastAsia="黑体" w:cs="黑体"/>
                <w:kern w:val="10"/>
                <w:sz w:val="24"/>
                <w:szCs w:val="24"/>
              </w:rPr>
            </w:pPr>
          </w:p>
        </w:tc>
      </w:tr>
    </w:tbl>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Times New Roman"/>
          <w:kern w:val="0"/>
          <w:sz w:val="28"/>
          <w:szCs w:val="28"/>
        </w:rPr>
      </w:pPr>
      <w:r>
        <w:rPr>
          <w:rFonts w:hint="eastAsia" w:ascii="黑体" w:hAnsi="黑体" w:eastAsia="黑体" w:cs="Times New Roman"/>
          <w:kern w:val="0"/>
          <w:sz w:val="28"/>
          <w:szCs w:val="28"/>
        </w:rPr>
        <w:br w:type="page"/>
      </w:r>
      <w:r>
        <w:rPr>
          <w:rFonts w:hint="eastAsia" w:ascii="黑体" w:hAnsi="黑体" w:eastAsia="黑体" w:cs="Times New Roman"/>
          <w:kern w:val="0"/>
          <w:sz w:val="28"/>
          <w:szCs w:val="28"/>
        </w:rPr>
        <w:t>附录G</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方正小标宋简体" w:hAnsi="方正小标宋简体" w:eastAsia="方正小标宋简体" w:cs="方正小标宋简体"/>
          <w:b w:val="0"/>
          <w:bCs w:val="0"/>
          <w:kern w:val="0"/>
          <w:sz w:val="28"/>
          <w:szCs w:val="20"/>
        </w:rPr>
      </w:pPr>
    </w:p>
    <w:p>
      <w:pPr>
        <w:keepNext w:val="0"/>
        <w:keepLines w:val="0"/>
        <w:pageBreakBefore w:val="0"/>
        <w:widowControl w:val="0"/>
        <w:kinsoku/>
        <w:wordWrap/>
        <w:overflowPunct/>
        <w:topLinePunct w:val="0"/>
        <w:autoSpaceDE/>
        <w:autoSpaceDN/>
        <w:bidi w:val="0"/>
        <w:spacing w:after="0" w:line="590" w:lineRule="exact"/>
        <w:ind w:right="0"/>
        <w:jc w:val="center"/>
        <w:textAlignment w:val="auto"/>
        <w:rPr>
          <w:rFonts w:hint="eastAsia" w:ascii="方正小标宋简体" w:hAnsi="方正小标宋简体" w:eastAsia="方正小标宋简体" w:cs="方正小标宋简体"/>
          <w:b w:val="0"/>
          <w:bCs w:val="0"/>
          <w:kern w:val="0"/>
          <w:sz w:val="44"/>
          <w:szCs w:val="20"/>
        </w:rPr>
      </w:pPr>
      <w:r>
        <w:rPr>
          <w:rFonts w:hint="eastAsia" w:ascii="方正小标宋简体" w:hAnsi="方正小标宋简体" w:eastAsia="方正小标宋简体" w:cs="方正小标宋简体"/>
          <w:b w:val="0"/>
          <w:bCs w:val="0"/>
          <w:kern w:val="0"/>
          <w:sz w:val="44"/>
          <w:szCs w:val="20"/>
        </w:rPr>
        <w:t>“二检合一”</w:t>
      </w:r>
      <w:r>
        <w:rPr>
          <w:rFonts w:hint="eastAsia" w:ascii="方正小标宋简体" w:hAnsi="方正小标宋简体" w:eastAsia="方正小标宋简体" w:cs="方正小标宋简体"/>
          <w:b w:val="0"/>
          <w:bCs w:val="0"/>
          <w:kern w:val="0"/>
          <w:sz w:val="44"/>
          <w:szCs w:val="20"/>
          <w:lang w:eastAsia="zh-CN"/>
        </w:rPr>
        <w:t>专项</w:t>
      </w:r>
      <w:r>
        <w:rPr>
          <w:rFonts w:hint="eastAsia" w:ascii="方正小标宋简体" w:hAnsi="方正小标宋简体" w:eastAsia="方正小标宋简体" w:cs="方正小标宋简体"/>
          <w:b w:val="0"/>
          <w:bCs w:val="0"/>
          <w:kern w:val="0"/>
          <w:sz w:val="44"/>
          <w:szCs w:val="20"/>
        </w:rPr>
        <w:t>计量授权</w:t>
      </w:r>
    </w:p>
    <w:p>
      <w:pPr>
        <w:keepNext w:val="0"/>
        <w:keepLines w:val="0"/>
        <w:pageBreakBefore w:val="0"/>
        <w:widowControl w:val="0"/>
        <w:kinsoku/>
        <w:wordWrap/>
        <w:overflowPunct/>
        <w:topLinePunct w:val="0"/>
        <w:autoSpaceDE/>
        <w:autoSpaceDN/>
        <w:bidi w:val="0"/>
        <w:adjustRightInd/>
        <w:snapToGrid/>
        <w:spacing w:after="0" w:line="1000" w:lineRule="exact"/>
        <w:ind w:right="0"/>
        <w:jc w:val="both"/>
        <w:textAlignment w:val="auto"/>
        <w:rPr>
          <w:rFonts w:hint="eastAsia" w:ascii="方正小标宋简体" w:hAnsi="方正小标宋简体" w:eastAsia="方正小标宋简体" w:cs="方正小标宋简体"/>
          <w:b w:val="0"/>
          <w:bCs w:val="0"/>
          <w:kern w:val="0"/>
          <w:sz w:val="72"/>
          <w:szCs w:val="20"/>
        </w:rPr>
      </w:pPr>
    </w:p>
    <w:p>
      <w:pPr>
        <w:keepNext w:val="0"/>
        <w:keepLines w:val="0"/>
        <w:pageBreakBefore w:val="0"/>
        <w:widowControl w:val="0"/>
        <w:kinsoku/>
        <w:wordWrap/>
        <w:overflowPunct/>
        <w:topLinePunct w:val="0"/>
        <w:autoSpaceDE/>
        <w:autoSpaceDN/>
        <w:bidi w:val="0"/>
        <w:adjustRightInd/>
        <w:snapToGrid/>
        <w:spacing w:after="0" w:line="1100" w:lineRule="exact"/>
        <w:ind w:left="0" w:right="0" w:firstLine="0" w:firstLineChars="0"/>
        <w:jc w:val="center"/>
        <w:textAlignment w:val="auto"/>
        <w:rPr>
          <w:rFonts w:hint="eastAsia" w:ascii="方正小标宋简体" w:hAnsi="方正小标宋简体" w:eastAsia="方正小标宋简体" w:cs="方正小标宋简体"/>
          <w:b w:val="0"/>
          <w:bCs/>
          <w:kern w:val="0"/>
          <w:sz w:val="76"/>
          <w:szCs w:val="76"/>
        </w:rPr>
      </w:pPr>
      <w:r>
        <w:rPr>
          <w:rFonts w:hint="eastAsia" w:ascii="方正小标宋简体" w:hAnsi="方正小标宋简体" w:eastAsia="方正小标宋简体" w:cs="方正小标宋简体"/>
          <w:b w:val="0"/>
          <w:bCs/>
          <w:kern w:val="0"/>
          <w:sz w:val="76"/>
          <w:szCs w:val="76"/>
        </w:rPr>
        <w:t>纠正措施验证报告</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b/>
          <w:kern w:val="0"/>
          <w:sz w:val="36"/>
          <w:szCs w:val="36"/>
        </w:rPr>
      </w:pPr>
      <w:r>
        <w:rPr>
          <w:rFonts w:hint="eastAsia" w:ascii="宋体" w:hAnsi="宋体" w:eastAsia="宋体" w:cs="Times New Roman"/>
          <w:kern w:val="0"/>
          <w:sz w:val="28"/>
          <w:szCs w:val="20"/>
        </w:rPr>
        <w:t xml:space="preserve">                         </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0"/>
        </w:rPr>
      </w:pP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cs="Times New Roman"/>
          <w:b/>
          <w:bCs/>
          <w:kern w:val="0"/>
          <w:sz w:val="32"/>
          <w:szCs w:val="32"/>
          <w:u w:val="single"/>
          <w:lang w:val="en-US" w:eastAsia="zh-CN"/>
        </w:rPr>
      </w:pPr>
      <w:r>
        <w:rPr>
          <w:rFonts w:hint="eastAsia" w:ascii="宋体" w:hAnsi="宋体" w:eastAsia="宋体" w:cs="Times New Roman"/>
          <w:kern w:val="0"/>
          <w:sz w:val="32"/>
          <w:szCs w:val="32"/>
        </w:rPr>
        <w:t>申请考核企业：</w:t>
      </w:r>
      <w:r>
        <w:rPr>
          <w:rFonts w:hint="eastAsia" w:ascii="宋体" w:hAnsi="宋体" w:cs="Times New Roman"/>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cs="Times New Roman"/>
          <w:b/>
          <w:bCs/>
          <w:kern w:val="0"/>
          <w:sz w:val="32"/>
          <w:szCs w:val="32"/>
          <w:u w:val="single"/>
          <w:lang w:val="en-US" w:eastAsia="zh-CN"/>
        </w:rPr>
      </w:pPr>
      <w:r>
        <w:rPr>
          <w:rFonts w:hint="eastAsia" w:ascii="宋体" w:hAnsi="宋体" w:eastAsia="宋体" w:cs="Times New Roman"/>
          <w:kern w:val="0"/>
          <w:sz w:val="32"/>
          <w:szCs w:val="32"/>
        </w:rPr>
        <w:t>组织考核单位：</w:t>
      </w:r>
      <w:r>
        <w:rPr>
          <w:rFonts w:hint="eastAsia" w:ascii="宋体" w:hAnsi="宋体" w:cs="Times New Roman"/>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eastAsia="宋体" w:cs="Times New Roman"/>
          <w:kern w:val="0"/>
          <w:sz w:val="32"/>
          <w:szCs w:val="32"/>
        </w:rPr>
      </w:pPr>
      <w:r>
        <w:rPr>
          <w:rFonts w:hint="eastAsia" w:ascii="宋体" w:hAnsi="宋体" w:eastAsia="宋体" w:cs="Times New Roman"/>
          <w:spacing w:val="0"/>
          <w:kern w:val="0"/>
          <w:sz w:val="32"/>
          <w:szCs w:val="32"/>
        </w:rPr>
        <w:t>考</w:t>
      </w:r>
      <w:r>
        <w:rPr>
          <w:rFonts w:hint="eastAsia" w:ascii="宋体" w:hAnsi="宋体" w:eastAsia="宋体" w:cs="Times New Roman"/>
          <w:spacing w:val="11"/>
          <w:kern w:val="0"/>
          <w:sz w:val="32"/>
          <w:szCs w:val="32"/>
        </w:rPr>
        <w:t xml:space="preserve"> 核 日 期：</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年</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月</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日</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考</w:t>
      </w:r>
      <w:r>
        <w:rPr>
          <w:rFonts w:hint="eastAsia" w:ascii="宋体" w:hAnsi="宋体" w:eastAsia="宋体" w:cs="Times New Roman"/>
          <w:spacing w:val="11"/>
          <w:kern w:val="0"/>
          <w:sz w:val="32"/>
          <w:szCs w:val="32"/>
        </w:rPr>
        <w:t xml:space="preserve"> 核 组 长：</w:t>
      </w:r>
      <w:r>
        <w:rPr>
          <w:rFonts w:hint="eastAsia" w:ascii="宋体" w:hAnsi="宋体" w:cs="Times New Roman"/>
          <w:b/>
          <w:bCs/>
          <w:kern w:val="0"/>
          <w:sz w:val="32"/>
          <w:szCs w:val="32"/>
          <w:u w:val="single"/>
          <w:lang w:val="en-US" w:eastAsia="zh-CN"/>
        </w:rPr>
        <w:t xml:space="preserve">                           </w:t>
      </w:r>
      <w:r>
        <w:rPr>
          <w:rFonts w:hint="eastAsia" w:ascii="宋体" w:hAnsi="宋体" w:cs="Times New Roman"/>
          <w:b w:val="0"/>
          <w:bCs w:val="0"/>
          <w:kern w:val="0"/>
          <w:sz w:val="32"/>
          <w:szCs w:val="32"/>
          <w:u w:val="none"/>
          <w:lang w:val="en-US" w:eastAsia="zh-CN"/>
        </w:rPr>
        <w:t>（</w:t>
      </w:r>
      <w:r>
        <w:rPr>
          <w:rFonts w:hint="eastAsia" w:ascii="宋体" w:hAnsi="宋体" w:eastAsia="宋体" w:cs="Times New Roman"/>
          <w:kern w:val="0"/>
          <w:sz w:val="32"/>
          <w:szCs w:val="32"/>
        </w:rPr>
        <w:t>签字</w:t>
      </w:r>
      <w:r>
        <w:rPr>
          <w:rFonts w:hint="eastAsia" w:ascii="宋体" w:hAnsi="宋体" w:cs="Times New Roman"/>
          <w:kern w:val="0"/>
          <w:sz w:val="32"/>
          <w:szCs w:val="32"/>
          <w:lang w:eastAsia="zh-CN"/>
        </w:rPr>
        <w:t>）</w:t>
      </w:r>
    </w:p>
    <w:p>
      <w:pPr>
        <w:keepNext w:val="0"/>
        <w:keepLines w:val="0"/>
        <w:pageBreakBefore w:val="0"/>
        <w:widowControl w:val="0"/>
        <w:kinsoku/>
        <w:wordWrap/>
        <w:overflowPunct/>
        <w:topLinePunct w:val="0"/>
        <w:autoSpaceDE/>
        <w:autoSpaceDN/>
        <w:bidi w:val="0"/>
        <w:spacing w:after="0" w:line="590" w:lineRule="exact"/>
        <w:ind w:left="0" w:right="0" w:firstLine="640" w:firstLineChars="200"/>
        <w:jc w:val="left"/>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签</w:t>
      </w:r>
      <w:r>
        <w:rPr>
          <w:rFonts w:hint="eastAsia" w:ascii="宋体" w:hAnsi="宋体" w:eastAsia="宋体" w:cs="Times New Roman"/>
          <w:spacing w:val="11"/>
          <w:kern w:val="0"/>
          <w:sz w:val="32"/>
          <w:szCs w:val="32"/>
        </w:rPr>
        <w:t xml:space="preserve"> 发 日 期：</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年</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月</w:t>
      </w:r>
      <w:r>
        <w:rPr>
          <w:rFonts w:hint="eastAsia" w:ascii="宋体" w:hAnsi="宋体" w:cs="Times New Roman"/>
          <w:b/>
          <w:bCs/>
          <w:kern w:val="0"/>
          <w:sz w:val="32"/>
          <w:szCs w:val="32"/>
          <w:u w:val="single"/>
          <w:lang w:val="en-US" w:eastAsia="zh-CN"/>
        </w:rPr>
        <w:t xml:space="preserve">        </w:t>
      </w:r>
      <w:r>
        <w:rPr>
          <w:rFonts w:hint="eastAsia" w:ascii="宋体" w:hAnsi="宋体" w:eastAsia="宋体" w:cs="Times New Roman"/>
          <w:kern w:val="0"/>
          <w:sz w:val="32"/>
          <w:szCs w:val="32"/>
        </w:rPr>
        <w:t>日</w:t>
      </w:r>
    </w:p>
    <w:p>
      <w:pPr>
        <w:rPr>
          <w:rFonts w:hint="eastAsia" w:ascii="宋体" w:hAnsi="宋体" w:eastAsia="宋体" w:cs="Times New Roman"/>
          <w:kern w:val="0"/>
          <w:sz w:val="28"/>
          <w:szCs w:val="20"/>
        </w:rPr>
      </w:pPr>
      <w:r>
        <w:rPr>
          <w:rFonts w:hint="eastAsia" w:ascii="宋体" w:hAnsi="宋体" w:eastAsia="宋体" w:cs="Times New Roman"/>
          <w:kern w:val="0"/>
          <w:sz w:val="28"/>
          <w:szCs w:val="20"/>
        </w:rPr>
        <w:br w:type="page"/>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1</w:t>
      </w:r>
      <w:r>
        <w:rPr>
          <w:rFonts w:hint="eastAsia" w:ascii="宋体" w:hAnsi="宋体" w:cs="Times New Roman"/>
          <w:kern w:val="0"/>
          <w:sz w:val="28"/>
          <w:szCs w:val="28"/>
          <w:lang w:val="en-US" w:eastAsia="zh-CN"/>
        </w:rPr>
        <w:t>、</w:t>
      </w:r>
      <w:r>
        <w:rPr>
          <w:rFonts w:hint="eastAsia" w:ascii="宋体" w:hAnsi="宋体" w:eastAsia="宋体" w:cs="Times New Roman"/>
          <w:kern w:val="0"/>
          <w:sz w:val="28"/>
          <w:szCs w:val="28"/>
        </w:rPr>
        <w:t>联系人：            电话：            传真：</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2</w:t>
      </w:r>
      <w:r>
        <w:rPr>
          <w:rFonts w:hint="eastAsia" w:ascii="宋体" w:hAnsi="宋体" w:cs="Times New Roman"/>
          <w:kern w:val="0"/>
          <w:sz w:val="28"/>
          <w:szCs w:val="28"/>
          <w:lang w:eastAsia="zh-CN"/>
        </w:rPr>
        <w:t>、</w:t>
      </w:r>
      <w:r>
        <w:rPr>
          <w:rFonts w:hint="eastAsia" w:ascii="宋体" w:hAnsi="宋体" w:eastAsia="宋体" w:cs="Times New Roman"/>
          <w:kern w:val="0"/>
          <w:sz w:val="28"/>
          <w:szCs w:val="28"/>
        </w:rPr>
        <w:t>验证结果汇总，见表G1。</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w:t>
      </w:r>
      <w:r>
        <w:rPr>
          <w:rFonts w:hint="eastAsia" w:ascii="宋体" w:hAnsi="宋体" w:cs="Times New Roman"/>
          <w:kern w:val="0"/>
          <w:sz w:val="28"/>
          <w:szCs w:val="28"/>
          <w:lang w:eastAsia="zh-CN"/>
        </w:rPr>
        <w:t>、</w:t>
      </w:r>
      <w:r>
        <w:rPr>
          <w:rFonts w:hint="eastAsia" w:ascii="宋体" w:hAnsi="宋体" w:eastAsia="宋体" w:cs="Times New Roman"/>
          <w:kern w:val="0"/>
          <w:sz w:val="28"/>
          <w:szCs w:val="28"/>
        </w:rPr>
        <w:t>验证结论：</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3.1  总体评价：</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3.2  整改项目确认</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3.2.1  整改后合格项目</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考核项目表序号：</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3.2.2  整改后仍不合格项目</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考核项目表序号：</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3.3  根据以上验证情况建议</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lang w:val="en" w:eastAsia="zh-CN"/>
        </w:rPr>
      </w:pPr>
      <w:r>
        <w:rPr>
          <w:rFonts w:hint="eastAsia" w:ascii="宋体" w:hAnsi="宋体" w:eastAsia="宋体" w:cs="Times New Roman"/>
          <w:kern w:val="0"/>
          <w:sz w:val="28"/>
          <w:szCs w:val="28"/>
        </w:rPr>
        <w:t xml:space="preserve">a）对合格项目给予授权 </w:t>
      </w:r>
      <w:r>
        <w:rPr>
          <w:rFonts w:hint="eastAsia" w:ascii="宋体" w:hAnsi="宋体" w:cs="Times New Roman"/>
          <w:kern w:val="0"/>
          <w:sz w:val="28"/>
          <w:szCs w:val="28"/>
          <w:lang w:val="en" w:eastAsia="zh-CN"/>
        </w:rPr>
        <w:t>□</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b）由于有重要缺陷和（或）不符合项不能给予授权 □</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注：对选用的建议打</w:t>
      </w:r>
      <w:r>
        <w:rPr>
          <w:rFonts w:ascii="宋体" w:hAnsi="宋体" w:eastAsia="宋体" w:cs="Times New Roman"/>
          <w:kern w:val="0"/>
          <w:sz w:val="28"/>
          <w:szCs w:val="28"/>
        </w:rPr>
        <w:t>√</w:t>
      </w:r>
      <w:r>
        <w:rPr>
          <w:rFonts w:hint="eastAsia" w:ascii="宋体" w:hAnsi="宋体" w:eastAsia="宋体" w:cs="Times New Roman"/>
          <w:kern w:val="0"/>
          <w:sz w:val="28"/>
          <w:szCs w:val="28"/>
        </w:rPr>
        <w:t>。</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4</w:t>
      </w:r>
      <w:r>
        <w:rPr>
          <w:rFonts w:hint="eastAsia" w:ascii="宋体" w:hAnsi="宋体" w:cs="Times New Roman"/>
          <w:kern w:val="0"/>
          <w:sz w:val="28"/>
          <w:szCs w:val="28"/>
          <w:lang w:eastAsia="zh-CN"/>
        </w:rPr>
        <w:t>、</w:t>
      </w:r>
      <w:r>
        <w:rPr>
          <w:rFonts w:hint="eastAsia" w:ascii="宋体" w:hAnsi="宋体" w:eastAsia="宋体" w:cs="Times New Roman"/>
          <w:color w:val="000000" w:themeColor="text1"/>
          <w:kern w:val="0"/>
          <w:sz w:val="28"/>
          <w:szCs w:val="28"/>
          <w14:textFill>
            <w14:solidFill>
              <w14:schemeClr w14:val="tx1"/>
            </w14:solidFill>
          </w14:textFill>
        </w:rPr>
        <w:t>考核组成员签名</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软件组：</w:t>
      </w:r>
    </w:p>
    <w:p>
      <w:pPr>
        <w:keepNext w:val="0"/>
        <w:keepLines w:val="0"/>
        <w:pageBreakBefore w:val="0"/>
        <w:widowControl w:val="0"/>
        <w:kinsoku/>
        <w:wordWrap/>
        <w:overflowPunct/>
        <w:topLinePunct w:val="0"/>
        <w:autoSpaceDE/>
        <w:autoSpaceDN/>
        <w:bidi w:val="0"/>
        <w:spacing w:after="0" w:line="590" w:lineRule="exact"/>
        <w:ind w:left="0" w:right="0" w:firstLine="560" w:firstLineChars="200"/>
        <w:jc w:val="left"/>
        <w:textAlignment w:val="auto"/>
        <w:rPr>
          <w:rFonts w:hint="eastAsia" w:ascii="宋体" w:hAnsi="宋体" w:eastAsia="宋体" w:cs="Times New Roman"/>
          <w:kern w:val="0"/>
          <w:sz w:val="28"/>
          <w:szCs w:val="28"/>
        </w:rPr>
      </w:pPr>
      <w:r>
        <w:rPr>
          <w:rFonts w:hint="eastAsia" w:ascii="宋体" w:hAnsi="宋体" w:eastAsia="宋体" w:cs="Times New Roman"/>
          <w:kern w:val="0"/>
          <w:sz w:val="28"/>
          <w:szCs w:val="28"/>
        </w:rPr>
        <w:t>硬件组：</w:t>
      </w:r>
    </w:p>
    <w:p>
      <w:pPr>
        <w:rPr>
          <w:rFonts w:hint="eastAsia" w:ascii="宋体" w:hAnsi="宋体" w:eastAsia="宋体" w:cs="Times New Roman"/>
          <w:kern w:val="0"/>
          <w:sz w:val="28"/>
          <w:szCs w:val="20"/>
        </w:rPr>
      </w:pPr>
      <w:r>
        <w:rPr>
          <w:rFonts w:hint="eastAsia" w:ascii="宋体" w:hAnsi="宋体" w:eastAsia="宋体" w:cs="Times New Roman"/>
          <w:kern w:val="0"/>
          <w:sz w:val="28"/>
          <w:szCs w:val="20"/>
        </w:rPr>
        <w:br w:type="page"/>
      </w:r>
    </w:p>
    <w:p>
      <w:pPr>
        <w:keepNext w:val="0"/>
        <w:keepLines w:val="0"/>
        <w:pageBreakBefore w:val="0"/>
        <w:widowControl w:val="0"/>
        <w:kinsoku/>
        <w:wordWrap/>
        <w:overflowPunct/>
        <w:topLinePunct w:val="0"/>
        <w:autoSpaceDE/>
        <w:autoSpaceDN/>
        <w:bidi w:val="0"/>
        <w:adjustRightInd/>
        <w:snapToGrid/>
        <w:spacing w:after="0" w:line="200" w:lineRule="exact"/>
        <w:ind w:left="0" w:right="0" w:firstLine="0" w:firstLineChars="0"/>
        <w:jc w:val="center"/>
        <w:textAlignment w:val="auto"/>
        <w:rPr>
          <w:rFonts w:hint="eastAsia" w:ascii="黑体" w:hAnsi="黑体" w:eastAsia="黑体" w:cs="Times New Roman"/>
          <w:bCs/>
          <w:kern w:val="0"/>
          <w:sz w:val="32"/>
          <w:szCs w:val="32"/>
        </w:rPr>
      </w:pPr>
    </w:p>
    <w:p>
      <w:pPr>
        <w:keepNext w:val="0"/>
        <w:keepLines w:val="0"/>
        <w:pageBreakBefore w:val="0"/>
        <w:widowControl w:val="0"/>
        <w:kinsoku/>
        <w:wordWrap/>
        <w:overflowPunct/>
        <w:topLinePunct w:val="0"/>
        <w:autoSpaceDE/>
        <w:autoSpaceDN/>
        <w:bidi w:val="0"/>
        <w:adjustRightInd/>
        <w:snapToGrid/>
        <w:spacing w:after="0" w:line="590" w:lineRule="exact"/>
        <w:ind w:left="0" w:right="0" w:firstLine="0" w:firstLineChars="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表G1</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验证结果汇总表</w:t>
      </w:r>
    </w:p>
    <w:p>
      <w:pPr>
        <w:keepNext w:val="0"/>
        <w:keepLines w:val="0"/>
        <w:pageBreakBefore w:val="0"/>
        <w:widowControl w:val="0"/>
        <w:kinsoku/>
        <w:wordWrap/>
        <w:overflowPunct/>
        <w:topLinePunct w:val="0"/>
        <w:autoSpaceDE/>
        <w:autoSpaceDN/>
        <w:bidi w:val="0"/>
        <w:adjustRightInd/>
        <w:snapToGrid/>
        <w:spacing w:after="0" w:line="300" w:lineRule="exact"/>
        <w:ind w:left="0" w:right="0" w:firstLine="420" w:firstLineChars="200"/>
        <w:jc w:val="center"/>
        <w:textAlignment w:val="auto"/>
        <w:rPr>
          <w:rFonts w:hint="eastAsia" w:ascii="宋体" w:hAnsi="宋体" w:eastAsia="宋体" w:cs="Times New Roman"/>
          <w:bCs/>
          <w:kern w:val="0"/>
          <w:szCs w:val="21"/>
        </w:rPr>
      </w:pP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990"/>
        <w:gridCol w:w="2673"/>
        <w:gridCol w:w="200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66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考核日期</w:t>
            </w:r>
          </w:p>
        </w:tc>
        <w:tc>
          <w:tcPr>
            <w:tcW w:w="66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要求整改项数</w:t>
            </w:r>
          </w:p>
        </w:tc>
        <w:tc>
          <w:tcPr>
            <w:tcW w:w="2673"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整改完成时间</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编号</w:t>
            </w: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验证意见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c>
          <w:tcPr>
            <w:tcW w:w="76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center"/>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考核组长：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8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ind w:left="0" w:right="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填表说明：验证意见的填写应对照不符合项/缺陷项逐项进行验证的内容。</w:t>
            </w:r>
          </w:p>
        </w:tc>
      </w:tr>
    </w:tbl>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附录H</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right="0"/>
        <w:jc w:val="center"/>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经确认的检定项目表</w:t>
      </w:r>
    </w:p>
    <w:p>
      <w:pPr>
        <w:keepNext w:val="0"/>
        <w:keepLines w:val="0"/>
        <w:pageBreakBefore w:val="0"/>
        <w:widowControl w:val="0"/>
        <w:kinsoku/>
        <w:wordWrap/>
        <w:overflowPunct/>
        <w:topLinePunct w:val="0"/>
        <w:autoSpaceDE/>
        <w:autoSpaceDN/>
        <w:bidi w:val="0"/>
        <w:spacing w:after="0" w:line="590" w:lineRule="exact"/>
        <w:ind w:left="0" w:right="0" w:firstLine="562" w:firstLineChars="200"/>
        <w:jc w:val="right"/>
        <w:textAlignment w:val="auto"/>
        <w:rPr>
          <w:rFonts w:hint="eastAsia" w:ascii="宋体" w:hAnsi="宋体" w:eastAsia="宋体" w:cs="Times New Roman"/>
          <w:kern w:val="0"/>
          <w:sz w:val="24"/>
          <w:szCs w:val="24"/>
        </w:rPr>
      </w:pPr>
      <w:r>
        <w:rPr>
          <w:rFonts w:hint="eastAsia" w:ascii="宋体" w:hAnsi="宋体" w:eastAsia="宋体" w:cs="Times New Roman"/>
          <w:b/>
          <w:kern w:val="0"/>
          <w:sz w:val="28"/>
          <w:szCs w:val="28"/>
        </w:rPr>
        <w:t xml:space="preserve">                            </w:t>
      </w:r>
      <w:r>
        <w:rPr>
          <w:rFonts w:hint="eastAsia" w:ascii="宋体" w:hAnsi="宋体" w:eastAsia="宋体" w:cs="Times New Roman"/>
          <w:kern w:val="0"/>
          <w:sz w:val="28"/>
          <w:szCs w:val="28"/>
        </w:rPr>
        <w:t xml:space="preserve">           </w:t>
      </w:r>
      <w:r>
        <w:rPr>
          <w:rFonts w:ascii="宋体" w:hAnsi="宋体" w:eastAsia="宋体" w:cs="Times New Roman"/>
          <w:kern w:val="0"/>
          <w:sz w:val="28"/>
          <w:szCs w:val="28"/>
        </w:rPr>
        <w:t xml:space="preserve">  </w:t>
      </w:r>
      <w:r>
        <w:rPr>
          <w:rFonts w:hint="eastAsia" w:ascii="宋体" w:hAnsi="宋体" w:eastAsia="宋体" w:cs="Times New Roman"/>
          <w:kern w:val="0"/>
          <w:sz w:val="28"/>
          <w:szCs w:val="28"/>
        </w:rPr>
        <w:t xml:space="preserve"> </w:t>
      </w:r>
      <w:r>
        <w:rPr>
          <w:rFonts w:hint="eastAsia" w:ascii="宋体" w:hAnsi="宋体" w:eastAsia="宋体" w:cs="Times New Roman"/>
          <w:kern w:val="0"/>
          <w:sz w:val="24"/>
          <w:szCs w:val="24"/>
        </w:rPr>
        <w:t xml:space="preserve">第 </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页</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共</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rPr>
        <w:t>页</w:t>
      </w:r>
    </w:p>
    <w:tbl>
      <w:tblPr>
        <w:tblStyle w:val="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560"/>
        <w:gridCol w:w="30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开展检定</w:t>
            </w:r>
          </w:p>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项目名称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测量范围</w:t>
            </w:r>
          </w:p>
        </w:tc>
        <w:tc>
          <w:tcPr>
            <w:tcW w:w="3027"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不确定度/准确度等级</w:t>
            </w:r>
          </w:p>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/最大允许误差</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依据检定规程</w:t>
            </w:r>
          </w:p>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center"/>
              <w:textAlignment w:val="auto"/>
              <w:rPr>
                <w:rFonts w:hint="eastAsia" w:ascii="黑体" w:hAnsi="黑体" w:eastAsia="黑体" w:cs="黑体"/>
                <w:b/>
                <w:kern w:val="0"/>
                <w:sz w:val="24"/>
                <w:szCs w:val="24"/>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3027"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c>
          <w:tcPr>
            <w:tcW w:w="2126" w:type="dxa"/>
            <w:noWrap w:val="0"/>
            <w:vAlign w:val="top"/>
          </w:tcPr>
          <w:p>
            <w:pPr>
              <w:keepNext w:val="0"/>
              <w:keepLines w:val="0"/>
              <w:pageBreakBefore w:val="0"/>
              <w:widowControl w:val="0"/>
              <w:kinsoku/>
              <w:wordWrap/>
              <w:overflowPunct/>
              <w:topLinePunct w:val="0"/>
              <w:autoSpaceDE/>
              <w:autoSpaceDN/>
              <w:bidi w:val="0"/>
              <w:adjustRightInd/>
              <w:snapToGrid/>
              <w:spacing w:after="0" w:line="340" w:lineRule="exact"/>
              <w:ind w:left="0" w:right="0" w:firstLine="0" w:firstLineChars="0"/>
              <w:jc w:val="left"/>
              <w:textAlignment w:val="auto"/>
              <w:rPr>
                <w:rFonts w:hint="eastAsia" w:ascii="黑体" w:hAnsi="黑体" w:eastAsia="黑体" w:cs="黑体"/>
                <w:b/>
                <w:ker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after="0" w:line="590" w:lineRule="exact"/>
        <w:ind w:left="0" w:right="0" w:firstLine="560" w:firstLineChars="200"/>
        <w:jc w:val="left"/>
        <w:textAlignment w:val="auto"/>
        <w:rPr>
          <w:rFonts w:hint="eastAsia" w:ascii="宋体" w:hAnsi="宋体" w:eastAsia="宋体" w:cs="Times New Roman"/>
          <w:kern w:val="0"/>
          <w:sz w:val="28"/>
          <w:szCs w:val="28"/>
        </w:rPr>
      </w:pPr>
    </w:p>
    <w:p>
      <w:pPr>
        <w:keepNext w:val="0"/>
        <w:keepLines w:val="0"/>
        <w:pageBreakBefore w:val="0"/>
        <w:widowControl w:val="0"/>
        <w:kinsoku/>
        <w:wordWrap/>
        <w:overflowPunct/>
        <w:topLinePunct w:val="0"/>
        <w:autoSpaceDE/>
        <w:autoSpaceDN/>
        <w:bidi w:val="0"/>
        <w:adjustRightInd w:val="0"/>
        <w:snapToGrid w:val="0"/>
        <w:spacing w:after="0" w:line="590" w:lineRule="exact"/>
        <w:ind w:left="0" w:right="0" w:firstLine="0" w:firstLineChars="0"/>
        <w:jc w:val="left"/>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考评员</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签名</w:t>
      </w:r>
      <w:r>
        <w:rPr>
          <w:rFonts w:hint="eastAsia" w:ascii="宋体" w:hAnsi="宋体" w:cs="Times New Roman"/>
          <w:kern w:val="0"/>
          <w:sz w:val="24"/>
          <w:szCs w:val="24"/>
          <w:lang w:eastAsia="zh-CN"/>
        </w:rPr>
        <w:t>）</w:t>
      </w:r>
      <w:r>
        <w:rPr>
          <w:rFonts w:hint="eastAsia" w:ascii="宋体" w:hAnsi="宋体" w:cs="Times New Roman"/>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pacing w:after="0" w:line="590" w:lineRule="exact"/>
        <w:ind w:left="0" w:right="0" w:firstLine="0" w:firstLineChars="0"/>
        <w:jc w:val="left"/>
        <w:textAlignment w:val="auto"/>
        <w:rPr>
          <w:rFonts w:hint="eastAsia" w:ascii="宋体" w:hAnsi="宋体" w:cs="Times New Roman"/>
          <w:kern w:val="0"/>
          <w:sz w:val="24"/>
          <w:szCs w:val="24"/>
          <w:u w:val="single"/>
          <w:lang w:val="en-US" w:eastAsia="zh-CN"/>
        </w:rPr>
      </w:pPr>
      <w:r>
        <w:rPr>
          <w:rFonts w:hint="eastAsia" w:ascii="宋体" w:hAnsi="宋体" w:eastAsia="宋体" w:cs="Times New Roman"/>
          <w:kern w:val="0"/>
          <w:sz w:val="24"/>
          <w:szCs w:val="24"/>
        </w:rPr>
        <w:t>考核组长</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签名</w:t>
      </w:r>
      <w:r>
        <w:rPr>
          <w:rFonts w:hint="eastAsia" w:ascii="宋体" w:hAnsi="宋体" w:cs="Times New Roman"/>
          <w:kern w:val="0"/>
          <w:sz w:val="24"/>
          <w:szCs w:val="24"/>
          <w:lang w:eastAsia="zh-CN"/>
        </w:rPr>
        <w:t>）</w:t>
      </w:r>
      <w:r>
        <w:rPr>
          <w:rFonts w:hint="eastAsia" w:ascii="宋体" w:hAnsi="宋体" w:cs="Times New Roman"/>
          <w:kern w:val="0"/>
          <w:sz w:val="24"/>
          <w:szCs w:val="24"/>
          <w:u w:val="single"/>
          <w:lang w:val="en-US" w:eastAsia="zh-CN"/>
        </w:rPr>
        <w:t xml:space="preserve">                    </w:t>
      </w:r>
      <w:r>
        <w:rPr>
          <w:rFonts w:hint="eastAsia" w:ascii="宋体" w:hAnsi="宋体" w:cs="Times New Roman"/>
          <w:kern w:val="0"/>
          <w:sz w:val="24"/>
          <w:szCs w:val="24"/>
          <w:u w:val="none"/>
          <w:lang w:val="en-US" w:eastAsia="zh-CN"/>
        </w:rPr>
        <w:t xml:space="preserve">  </w:t>
      </w:r>
      <w:r>
        <w:rPr>
          <w:rFonts w:hint="eastAsia" w:ascii="宋体" w:hAnsi="宋体" w:eastAsia="宋体" w:cs="Times New Roman"/>
          <w:kern w:val="0"/>
          <w:sz w:val="24"/>
          <w:szCs w:val="24"/>
        </w:rPr>
        <w:t>企业负责人（签名）</w:t>
      </w:r>
      <w:r>
        <w:rPr>
          <w:rFonts w:hint="eastAsia" w:ascii="宋体" w:hAnsi="宋体" w:cs="Times New Roman"/>
          <w:kern w:val="0"/>
          <w:sz w:val="24"/>
          <w:szCs w:val="24"/>
          <w:u w:val="single"/>
          <w:lang w:val="en-US" w:eastAsia="zh-CN"/>
        </w:rPr>
        <w:t xml:space="preserve">                  </w:t>
      </w:r>
    </w:p>
    <w:p>
      <w:pPr>
        <w:rPr>
          <w:rFonts w:hint="eastAsia" w:ascii="宋体" w:hAnsi="宋体" w:cs="Times New Roman"/>
          <w:kern w:val="0"/>
          <w:sz w:val="24"/>
          <w:szCs w:val="24"/>
          <w:u w:val="single"/>
          <w:lang w:val="en-US" w:eastAsia="zh-CN"/>
        </w:rPr>
      </w:pPr>
      <w:r>
        <w:rPr>
          <w:rFonts w:hint="eastAsia" w:ascii="宋体" w:hAnsi="宋体" w:cs="Times New Roman"/>
          <w:kern w:val="0"/>
          <w:sz w:val="24"/>
          <w:szCs w:val="24"/>
          <w:u w:val="single"/>
          <w:lang w:val="en-US" w:eastAsia="zh-CN"/>
        </w:rPr>
        <w:br w:type="page"/>
      </w:r>
    </w:p>
    <w:p>
      <w:pPr>
        <w:keepNext w:val="0"/>
        <w:keepLines w:val="0"/>
        <w:pageBreakBefore w:val="0"/>
        <w:widowControl w:val="0"/>
        <w:kinsoku/>
        <w:wordWrap/>
        <w:overflowPunct/>
        <w:topLinePunct w:val="0"/>
        <w:autoSpaceDE/>
        <w:autoSpaceDN/>
        <w:bidi w:val="0"/>
        <w:spacing w:after="0" w:line="590" w:lineRule="exact"/>
        <w:ind w:right="0"/>
        <w:jc w:val="left"/>
        <w:textAlignment w:val="auto"/>
        <w:rPr>
          <w:rFonts w:hint="eastAsia" w:ascii="黑体" w:hAnsi="黑体" w:eastAsia="黑体" w:cs="Times New Roman"/>
          <w:bCs/>
          <w:color w:val="000000" w:themeColor="text1"/>
          <w:kern w:val="0"/>
          <w:sz w:val="32"/>
          <w:szCs w:val="32"/>
          <w14:textFill>
            <w14:solidFill>
              <w14:schemeClr w14:val="tx1"/>
            </w14:solidFill>
          </w14:textFill>
        </w:rPr>
      </w:pPr>
      <w:r>
        <w:rPr>
          <w:rFonts w:hint="eastAsia" w:ascii="黑体" w:hAnsi="黑体" w:eastAsia="黑体" w:cs="Times New Roman"/>
          <w:bCs/>
          <w:kern w:val="0"/>
          <w:sz w:val="32"/>
          <w:szCs w:val="32"/>
        </w:rPr>
        <w:t>附录I</w:t>
      </w:r>
    </w:p>
    <w:p>
      <w:pPr>
        <w:keepNext w:val="0"/>
        <w:keepLines w:val="0"/>
        <w:pageBreakBefore w:val="0"/>
        <w:widowControl w:val="0"/>
        <w:kinsoku/>
        <w:wordWrap/>
        <w:overflowPunct/>
        <w:topLinePunct w:val="0"/>
        <w:autoSpaceDE/>
        <w:autoSpaceDN/>
        <w:bidi w:val="0"/>
        <w:adjustRightInd/>
        <w:snapToGrid/>
        <w:spacing w:before="157" w:beforeLines="50" w:after="157" w:afterLines="50" w:line="450" w:lineRule="exact"/>
        <w:ind w:right="0"/>
        <w:jc w:val="center"/>
        <w:textAlignment w:val="auto"/>
        <w:rPr>
          <w:rFonts w:hint="eastAsia" w:ascii="黑体" w:hAnsi="黑体" w:eastAsia="黑体" w:cs="Times New Roman"/>
          <w:bCs/>
          <w:color w:val="000000" w:themeColor="text1"/>
          <w:kern w:val="0"/>
          <w:sz w:val="32"/>
          <w:szCs w:val="32"/>
          <w:lang w:eastAsia="zh-CN"/>
          <w14:textFill>
            <w14:solidFill>
              <w14:schemeClr w14:val="tx1"/>
            </w14:solidFill>
          </w14:textFill>
        </w:rPr>
      </w:pPr>
      <w:r>
        <w:rPr>
          <w:rFonts w:hint="eastAsia" w:ascii="黑体" w:hAnsi="黑体" w:eastAsia="黑体" w:cs="Times New Roman"/>
          <w:bCs/>
          <w:color w:val="000000" w:themeColor="text1"/>
          <w:kern w:val="0"/>
          <w:sz w:val="32"/>
          <w:szCs w:val="32"/>
          <w:lang w:eastAsia="zh-CN"/>
          <w14:textFill>
            <w14:solidFill>
              <w14:schemeClr w14:val="tx1"/>
            </w14:solidFill>
          </w14:textFill>
        </w:rPr>
        <w:t>“二检合一”专项计量授权申请</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jc w:val="center"/>
        <w:textAlignment w:val="auto"/>
        <w:rPr>
          <w:rFonts w:hint="eastAsia" w:ascii="仿宋_GB2312" w:hAnsi="仿宋" w:eastAsia="仿宋_GB2312"/>
          <w:b/>
          <w:bCs/>
          <w:color w:val="0000FF"/>
          <w:sz w:val="32"/>
          <w:szCs w:val="32"/>
        </w:rPr>
      </w:pPr>
      <w:r>
        <w:rPr>
          <w:rFonts w:hint="eastAsia" w:ascii="黑体" w:hAnsi="黑体" w:eastAsia="黑体" w:cs="Times New Roman"/>
          <w:bCs/>
          <w:color w:val="000000" w:themeColor="text1"/>
          <w:kern w:val="0"/>
          <w:sz w:val="32"/>
          <w:szCs w:val="32"/>
          <w14:textFill>
            <w14:solidFill>
              <w14:schemeClr w14:val="tx1"/>
            </w14:solidFill>
          </w14:textFill>
        </w:rPr>
        <w:t>自我声明</w:t>
      </w:r>
      <w:r>
        <w:rPr>
          <w:rFonts w:hint="eastAsia" w:ascii="黑体" w:hAnsi="黑体" w:eastAsia="黑体" w:cs="Times New Roman"/>
          <w:bCs/>
          <w:color w:val="000000" w:themeColor="text1"/>
          <w:kern w:val="0"/>
          <w:sz w:val="32"/>
          <w:szCs w:val="32"/>
          <w:lang w:eastAsia="zh-CN"/>
          <w14:textFill>
            <w14:solidFill>
              <w14:schemeClr w14:val="tx1"/>
            </w14:solidFill>
          </w14:textFill>
        </w:rPr>
        <w:t>与</w:t>
      </w:r>
      <w:r>
        <w:rPr>
          <w:rFonts w:hint="eastAsia" w:ascii="黑体" w:hAnsi="黑体" w:eastAsia="黑体" w:cs="Times New Roman"/>
          <w:bCs/>
          <w:color w:val="000000" w:themeColor="text1"/>
          <w:kern w:val="0"/>
          <w:sz w:val="32"/>
          <w:szCs w:val="32"/>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val="0"/>
          <w:bCs w:val="0"/>
          <w:color w:val="000000" w:themeColor="text1"/>
          <w:sz w:val="24"/>
          <w:szCs w:val="32"/>
          <w:lang w:eastAsia="zh-CN"/>
          <w14:textFill>
            <w14:solidFill>
              <w14:schemeClr w14:val="tx1"/>
            </w14:solidFill>
          </w14:textFill>
        </w:rPr>
      </w:pPr>
      <w:r>
        <w:rPr>
          <w:rFonts w:hint="eastAsia" w:ascii="宋体" w:hAnsi="宋体" w:eastAsia="宋体" w:cs="宋体"/>
          <w:b w:val="0"/>
          <w:bCs w:val="0"/>
          <w:color w:val="000000" w:themeColor="text1"/>
          <w:sz w:val="24"/>
          <w:szCs w:val="32"/>
          <w14:textFill>
            <w14:solidFill>
              <w14:schemeClr w14:val="tx1"/>
            </w14:solidFill>
          </w14:textFill>
        </w:rPr>
        <w:t>本企业就申请</w:t>
      </w:r>
      <w:r>
        <w:rPr>
          <w:rFonts w:hint="eastAsia" w:ascii="宋体" w:hAnsi="宋体" w:cs="宋体"/>
          <w:b w:val="0"/>
          <w:bCs w:val="0"/>
          <w:color w:val="000000" w:themeColor="text1"/>
          <w:sz w:val="24"/>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u w:val="none"/>
          <w14:textFill>
            <w14:solidFill>
              <w14:schemeClr w14:val="tx1"/>
            </w14:solidFill>
          </w14:textFill>
        </w:rPr>
      </w:pPr>
      <w:r>
        <w:rPr>
          <w:rFonts w:hint="eastAsia" w:ascii="宋体" w:hAnsi="宋体" w:cs="宋体"/>
          <w:b w:val="0"/>
          <w:bCs w:val="0"/>
          <w:color w:val="000000" w:themeColor="text1"/>
          <w:sz w:val="24"/>
          <w:szCs w:val="32"/>
          <w:u w:val="none"/>
          <w:lang w:eastAsia="zh-CN"/>
          <w14:textFill>
            <w14:solidFill>
              <w14:schemeClr w14:val="tx1"/>
            </w14:solidFill>
          </w14:textFill>
        </w:rPr>
        <w:t>□</w:t>
      </w:r>
      <w:r>
        <w:rPr>
          <w:rFonts w:hint="eastAsia" w:ascii="宋体" w:hAnsi="宋体" w:cs="宋体"/>
          <w:b w:val="0"/>
          <w:bCs w:val="0"/>
          <w:color w:val="000000" w:themeColor="text1"/>
          <w:sz w:val="24"/>
          <w:szCs w:val="32"/>
          <w:u w:val="none"/>
          <w:lang w:val="en-US" w:eastAsia="zh-CN"/>
          <w14:textFill>
            <w14:solidFill>
              <w14:schemeClr w14:val="tx1"/>
            </w14:solidFill>
          </w14:textFill>
        </w:rPr>
        <w:t>民用水表：规格型号范围为</w:t>
      </w:r>
      <w:r>
        <w:rPr>
          <w:rFonts w:hint="eastAsia" w:ascii="宋体" w:hAnsi="宋体" w:cs="宋体"/>
          <w:b w:val="0"/>
          <w:bCs w:val="0"/>
          <w:color w:val="000000" w:themeColor="text1"/>
          <w:sz w:val="24"/>
          <w:szCs w:val="32"/>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szCs w:val="32"/>
          <w:u w:val="none"/>
          <w:lang w:val="en-US" w:eastAsia="zh-CN"/>
          <w14:textFill>
            <w14:solidFill>
              <w14:schemeClr w14:val="tx1"/>
            </w14:solidFill>
          </w14:textFill>
        </w:rPr>
        <w:t>（例：</w:t>
      </w:r>
      <w:r>
        <w:rPr>
          <w:rFonts w:hint="eastAsia" w:ascii="宋体" w:hAnsi="宋体" w:eastAsia="宋体" w:cs="宋体"/>
          <w:b w:val="0"/>
          <w:bCs w:val="0"/>
          <w:color w:val="000000" w:themeColor="text1"/>
          <w:sz w:val="24"/>
          <w:szCs w:val="32"/>
          <w:u w:val="none"/>
          <w:lang w:val="en-US" w:eastAsia="zh-CN"/>
          <w14:textFill>
            <w14:solidFill>
              <w14:schemeClr w14:val="tx1"/>
            </w14:solidFill>
          </w14:textFill>
        </w:rPr>
        <w:t>DN15~DN25，须与计量标准测量范围一致</w:t>
      </w:r>
      <w:r>
        <w:rPr>
          <w:rFonts w:hint="eastAsia" w:ascii="宋体" w:hAnsi="宋体" w:cs="宋体"/>
          <w:b w:val="0"/>
          <w:bCs w:val="0"/>
          <w:color w:val="000000" w:themeColor="text1"/>
          <w:sz w:val="24"/>
          <w:szCs w:val="32"/>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32"/>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u w:val="none"/>
          <w:lang w:eastAsia="zh-CN"/>
          <w14:textFill>
            <w14:solidFill>
              <w14:schemeClr w14:val="tx1"/>
            </w14:solidFill>
          </w14:textFill>
        </w:rPr>
      </w:pPr>
      <w:r>
        <w:rPr>
          <w:rFonts w:hint="eastAsia" w:ascii="宋体" w:hAnsi="宋体" w:eastAsia="宋体" w:cs="宋体"/>
          <w:b w:val="0"/>
          <w:bCs w:val="0"/>
          <w:color w:val="000000" w:themeColor="text1"/>
          <w:sz w:val="24"/>
          <w:szCs w:val="32"/>
          <w:u w:val="none"/>
          <w14:textFill>
            <w14:solidFill>
              <w14:schemeClr w14:val="tx1"/>
            </w14:solidFill>
          </w14:textFill>
        </w:rPr>
        <w:t>□燃气表</w:t>
      </w:r>
      <w:r>
        <w:rPr>
          <w:rFonts w:hint="eastAsia" w:ascii="宋体" w:hAnsi="宋体" w:cs="宋体"/>
          <w:b w:val="0"/>
          <w:bCs w:val="0"/>
          <w:color w:val="000000" w:themeColor="text1"/>
          <w:sz w:val="24"/>
          <w:szCs w:val="32"/>
          <w:u w:val="none"/>
          <w:lang w:eastAsia="zh-CN"/>
          <w14:textFill>
            <w14:solidFill>
              <w14:schemeClr w14:val="tx1"/>
            </w14:solidFill>
          </w14:textFill>
        </w:rPr>
        <w:t>：</w:t>
      </w:r>
      <w:r>
        <w:rPr>
          <w:rFonts w:hint="eastAsia" w:ascii="宋体" w:hAnsi="宋体" w:cs="宋体"/>
          <w:b w:val="0"/>
          <w:bCs w:val="0"/>
          <w:color w:val="000000" w:themeColor="text1"/>
          <w:sz w:val="24"/>
          <w:szCs w:val="32"/>
          <w:u w:val="none"/>
          <w:lang w:val="en-US" w:eastAsia="zh-CN"/>
          <w14:textFill>
            <w14:solidFill>
              <w14:schemeClr w14:val="tx1"/>
            </w14:solidFill>
          </w14:textFill>
        </w:rPr>
        <w:t>规格型号范围为</w:t>
      </w:r>
      <w:r>
        <w:rPr>
          <w:rFonts w:hint="eastAsia" w:ascii="宋体" w:hAnsi="宋体" w:cs="宋体"/>
          <w:b w:val="0"/>
          <w:bCs w:val="0"/>
          <w:color w:val="000000" w:themeColor="text1"/>
          <w:sz w:val="24"/>
          <w:szCs w:val="32"/>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szCs w:val="32"/>
          <w:u w:val="none"/>
          <w:lang w:eastAsia="zh-CN"/>
          <w14:textFill>
            <w14:solidFill>
              <w14:schemeClr w14:val="tx1"/>
            </w14:solidFill>
          </w14:textFill>
        </w:rPr>
        <w:t>（</w:t>
      </w:r>
      <w:r>
        <w:rPr>
          <w:rFonts w:hint="eastAsia" w:ascii="宋体" w:hAnsi="宋体" w:cs="宋体"/>
          <w:b w:val="0"/>
          <w:bCs w:val="0"/>
          <w:color w:val="000000" w:themeColor="text1"/>
          <w:sz w:val="24"/>
          <w:szCs w:val="32"/>
          <w:u w:val="none"/>
          <w:lang w:val="en-US" w:eastAsia="zh-CN"/>
          <w14:textFill>
            <w14:solidFill>
              <w14:schemeClr w14:val="tx1"/>
            </w14:solidFill>
          </w14:textFill>
        </w:rPr>
        <w:t>例：</w:t>
      </w:r>
      <w:r>
        <w:rPr>
          <w:rFonts w:hint="eastAsia" w:ascii="宋体" w:hAnsi="宋体" w:eastAsia="宋体" w:cs="宋体"/>
          <w:b w:val="0"/>
          <w:bCs w:val="0"/>
          <w:color w:val="000000" w:themeColor="text1"/>
          <w:sz w:val="24"/>
          <w:szCs w:val="32"/>
          <w:u w:val="none"/>
          <w:lang w:val="en-US" w:eastAsia="zh-CN"/>
          <w14:textFill>
            <w14:solidFill>
              <w14:schemeClr w14:val="tx1"/>
            </w14:solidFill>
          </w14:textFill>
        </w:rPr>
        <w:t>G1.6~G4，须与计量标准测量范围一致</w:t>
      </w:r>
      <w:r>
        <w:rPr>
          <w:rFonts w:hint="eastAsia" w:ascii="宋体" w:hAnsi="宋体" w:cs="宋体"/>
          <w:b w:val="0"/>
          <w:bCs w:val="0"/>
          <w:color w:val="000000" w:themeColor="text1"/>
          <w:sz w:val="24"/>
          <w:szCs w:val="32"/>
          <w:u w:val="none"/>
          <w:lang w:eastAsia="zh-CN"/>
          <w14:textFill>
            <w14:solidFill>
              <w14:schemeClr w14:val="tx1"/>
            </w14:solidFill>
          </w14:textFill>
        </w:rPr>
        <w:t>），类型为：</w:t>
      </w:r>
      <w:r>
        <w:rPr>
          <w:rFonts w:hint="eastAsia" w:ascii="宋体" w:hAnsi="宋体" w:eastAsia="宋体" w:cs="宋体"/>
          <w:b w:val="0"/>
          <w:bCs w:val="0"/>
          <w:color w:val="000000" w:themeColor="text1"/>
          <w:sz w:val="24"/>
          <w:szCs w:val="32"/>
          <w:u w:val="none"/>
          <w14:textFill>
            <w14:solidFill>
              <w14:schemeClr w14:val="tx1"/>
            </w14:solidFill>
          </w14:textFill>
        </w:rPr>
        <w:t xml:space="preserve"> □</w:t>
      </w:r>
      <w:r>
        <w:rPr>
          <w:rFonts w:hint="eastAsia" w:ascii="宋体" w:hAnsi="宋体" w:eastAsia="宋体" w:cs="宋体"/>
          <w:b w:val="0"/>
          <w:bCs w:val="0"/>
          <w:color w:val="000000" w:themeColor="text1"/>
          <w:sz w:val="24"/>
          <w:szCs w:val="32"/>
          <w:u w:val="none"/>
          <w:lang w:eastAsia="zh-CN"/>
          <w14:textFill>
            <w14:solidFill>
              <w14:schemeClr w14:val="tx1"/>
            </w14:solidFill>
          </w14:textFill>
        </w:rPr>
        <w:t>膜式</w:t>
      </w:r>
      <w:r>
        <w:rPr>
          <w:rFonts w:hint="eastAsia" w:ascii="宋体" w:hAnsi="宋体" w:eastAsia="宋体" w:cs="宋体"/>
          <w:b w:val="0"/>
          <w:bCs w:val="0"/>
          <w:color w:val="000000" w:themeColor="text1"/>
          <w:sz w:val="24"/>
          <w:szCs w:val="32"/>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32"/>
          <w:u w:val="none"/>
          <w14:textFill>
            <w14:solidFill>
              <w14:schemeClr w14:val="tx1"/>
            </w14:solidFill>
          </w14:textFill>
        </w:rPr>
        <w:t>□</w:t>
      </w:r>
      <w:r>
        <w:rPr>
          <w:rFonts w:hint="eastAsia" w:ascii="宋体" w:hAnsi="宋体" w:eastAsia="宋体" w:cs="宋体"/>
          <w:b w:val="0"/>
          <w:bCs w:val="0"/>
          <w:color w:val="000000" w:themeColor="text1"/>
          <w:sz w:val="24"/>
          <w:szCs w:val="32"/>
          <w:u w:val="none"/>
          <w:lang w:eastAsia="zh-CN"/>
          <w14:textFill>
            <w14:solidFill>
              <w14:schemeClr w14:val="tx1"/>
            </w14:solidFill>
          </w14:textFill>
        </w:rPr>
        <w:t>超声波</w:t>
      </w:r>
      <w:r>
        <w:rPr>
          <w:rFonts w:hint="eastAsia" w:ascii="宋体" w:hAnsi="宋体" w:eastAsia="宋体" w:cs="宋体"/>
          <w:b w:val="0"/>
          <w:bCs w:val="0"/>
          <w:color w:val="000000" w:themeColor="text1"/>
          <w:sz w:val="24"/>
          <w:szCs w:val="32"/>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32"/>
          <w:u w:val="none"/>
          <w14:textFill>
            <w14:solidFill>
              <w14:schemeClr w14:val="tx1"/>
            </w14:solidFill>
          </w14:textFill>
        </w:rPr>
        <w:t>□</w:t>
      </w:r>
      <w:r>
        <w:rPr>
          <w:rFonts w:hint="eastAsia" w:ascii="宋体" w:hAnsi="宋体" w:eastAsia="宋体" w:cs="宋体"/>
          <w:b w:val="0"/>
          <w:bCs w:val="0"/>
          <w:color w:val="000000" w:themeColor="text1"/>
          <w:sz w:val="24"/>
          <w:szCs w:val="32"/>
          <w:u w:val="none"/>
          <w:lang w:eastAsia="zh-CN"/>
          <w14:textFill>
            <w14:solidFill>
              <w14:schemeClr w14:val="tx1"/>
            </w14:solidFill>
          </w14:textFill>
        </w:rPr>
        <w:t>热式（可多选）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szCs w:val="32"/>
          <w:u w:val="none"/>
          <w14:textFill>
            <w14:solidFill>
              <w14:schemeClr w14:val="tx1"/>
            </w14:solidFill>
          </w14:textFill>
        </w:rPr>
        <w:t>“</w:t>
      </w:r>
      <w:r>
        <w:rPr>
          <w:rFonts w:hint="eastAsia" w:ascii="宋体" w:hAnsi="宋体" w:eastAsia="宋体" w:cs="宋体"/>
          <w:b w:val="0"/>
          <w:bCs w:val="0"/>
          <w:color w:val="000000" w:themeColor="text1"/>
          <w:sz w:val="24"/>
          <w:szCs w:val="32"/>
          <w14:textFill>
            <w14:solidFill>
              <w14:schemeClr w14:val="tx1"/>
            </w14:solidFill>
          </w14:textFill>
        </w:rPr>
        <w:t>二检合一”</w:t>
      </w:r>
      <w:r>
        <w:rPr>
          <w:rFonts w:hint="eastAsia" w:ascii="宋体" w:hAnsi="宋体" w:cs="宋体"/>
          <w:b w:val="0"/>
          <w:bCs w:val="0"/>
          <w:color w:val="000000" w:themeColor="text1"/>
          <w:sz w:val="24"/>
          <w:szCs w:val="32"/>
          <w:lang w:eastAsia="zh-CN"/>
          <w14:textFill>
            <w14:solidFill>
              <w14:schemeClr w14:val="tx1"/>
            </w14:solidFill>
          </w14:textFill>
        </w:rPr>
        <w:t>专项</w:t>
      </w:r>
      <w:r>
        <w:rPr>
          <w:rFonts w:hint="eastAsia" w:ascii="宋体" w:hAnsi="宋体" w:eastAsia="宋体" w:cs="宋体"/>
          <w:b w:val="0"/>
          <w:bCs w:val="0"/>
          <w:color w:val="000000" w:themeColor="text1"/>
          <w:sz w:val="24"/>
          <w:szCs w:val="32"/>
          <w14:textFill>
            <w14:solidFill>
              <w14:schemeClr w14:val="tx1"/>
            </w14:solidFill>
          </w14:textFill>
        </w:rPr>
        <w:t>计量授权事项</w:t>
      </w:r>
      <w:r>
        <w:rPr>
          <w:rFonts w:hint="eastAsia" w:ascii="宋体" w:hAnsi="宋体" w:cs="宋体"/>
          <w:b w:val="0"/>
          <w:bCs w:val="0"/>
          <w:color w:val="000000" w:themeColor="text1"/>
          <w:sz w:val="24"/>
          <w:szCs w:val="32"/>
          <w:lang w:eastAsia="zh-CN"/>
          <w14:textFill>
            <w14:solidFill>
              <w14:schemeClr w14:val="tx1"/>
            </w14:solidFill>
          </w14:textFill>
        </w:rPr>
        <w:t>，郑重声明并</w:t>
      </w:r>
      <w:r>
        <w:rPr>
          <w:rFonts w:hint="eastAsia" w:ascii="宋体" w:hAnsi="宋体" w:eastAsia="宋体" w:cs="宋体"/>
          <w:b w:val="0"/>
          <w:bCs w:val="0"/>
          <w:color w:val="000000" w:themeColor="text1"/>
          <w:sz w:val="24"/>
          <w:szCs w:val="32"/>
          <w14:textFill>
            <w14:solidFill>
              <w14:schemeClr w14:val="tx1"/>
            </w14:solidFill>
          </w14:textFill>
        </w:rPr>
        <w:t>承诺如下：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szCs w:val="32"/>
          <w14:textFill>
            <w14:solidFill>
              <w14:schemeClr w14:val="tx1"/>
            </w14:solidFill>
          </w14:textFill>
        </w:rPr>
        <w:t>（一）本企业</w:t>
      </w:r>
      <w:r>
        <w:rPr>
          <w:rFonts w:hint="eastAsia" w:ascii="宋体" w:hAnsi="宋体" w:cs="宋体"/>
          <w:b w:val="0"/>
          <w:bCs w:val="0"/>
          <w:color w:val="000000" w:themeColor="text1"/>
          <w:sz w:val="24"/>
          <w:szCs w:val="32"/>
          <w:lang w:eastAsia="zh-CN"/>
          <w14:textFill>
            <w14:solidFill>
              <w14:schemeClr w14:val="tx1"/>
            </w14:solidFill>
          </w14:textFill>
        </w:rPr>
        <w:t>及全体</w:t>
      </w:r>
      <w:r>
        <w:rPr>
          <w:rFonts w:hint="eastAsia" w:ascii="宋体" w:hAnsi="宋体" w:eastAsia="宋体" w:cs="宋体"/>
          <w:b w:val="0"/>
          <w:bCs w:val="0"/>
          <w:color w:val="000000" w:themeColor="text1"/>
          <w:sz w:val="24"/>
          <w:szCs w:val="32"/>
          <w14:textFill>
            <w14:solidFill>
              <w14:schemeClr w14:val="tx1"/>
            </w14:solidFill>
          </w14:textFill>
        </w:rPr>
        <w:t>员工</w:t>
      </w:r>
      <w:r>
        <w:rPr>
          <w:rFonts w:hint="eastAsia" w:ascii="宋体" w:hAnsi="宋体" w:cs="宋体"/>
          <w:b w:val="0"/>
          <w:bCs w:val="0"/>
          <w:color w:val="000000" w:themeColor="text1"/>
          <w:sz w:val="24"/>
          <w:szCs w:val="32"/>
          <w:lang w:eastAsia="zh-CN"/>
          <w14:textFill>
            <w14:solidFill>
              <w14:schemeClr w14:val="tx1"/>
            </w14:solidFill>
          </w14:textFill>
        </w:rPr>
        <w:t>严格</w:t>
      </w:r>
      <w:r>
        <w:rPr>
          <w:rFonts w:hint="eastAsia" w:ascii="宋体" w:hAnsi="宋体" w:eastAsia="宋体" w:cs="宋体"/>
          <w:b w:val="0"/>
          <w:bCs w:val="0"/>
          <w:color w:val="000000" w:themeColor="text1"/>
          <w:sz w:val="24"/>
          <w:szCs w:val="32"/>
          <w14:textFill>
            <w14:solidFill>
              <w14:schemeClr w14:val="tx1"/>
            </w14:solidFill>
          </w14:textFill>
        </w:rPr>
        <w:t>遵守《中华人民共和国计量法》</w:t>
      </w:r>
      <w:r>
        <w:rPr>
          <w:rFonts w:hint="eastAsia" w:ascii="宋体" w:hAnsi="宋体" w:cs="宋体"/>
          <w:b w:val="0"/>
          <w:bCs w:val="0"/>
          <w:color w:val="000000" w:themeColor="text1"/>
          <w:sz w:val="24"/>
          <w:szCs w:val="32"/>
          <w:lang w:eastAsia="zh-CN"/>
          <w14:textFill>
            <w14:solidFill>
              <w14:schemeClr w14:val="tx1"/>
            </w14:solidFill>
          </w14:textFill>
        </w:rPr>
        <w:t>及相关</w:t>
      </w:r>
      <w:r>
        <w:rPr>
          <w:rFonts w:hint="eastAsia" w:ascii="宋体" w:hAnsi="宋体" w:eastAsia="宋体" w:cs="宋体"/>
          <w:b w:val="0"/>
          <w:bCs w:val="0"/>
          <w:color w:val="000000" w:themeColor="text1"/>
          <w:sz w:val="24"/>
          <w:szCs w:val="32"/>
          <w14:textFill>
            <w14:solidFill>
              <w14:schemeClr w14:val="tx1"/>
            </w14:solidFill>
          </w14:textFill>
        </w:rPr>
        <w:t>法律法规</w:t>
      </w:r>
      <w:r>
        <w:rPr>
          <w:rFonts w:hint="eastAsia" w:ascii="宋体" w:hAnsi="宋体" w:cs="宋体"/>
          <w:b w:val="0"/>
          <w:bCs w:val="0"/>
          <w:color w:val="000000" w:themeColor="text1"/>
          <w:sz w:val="24"/>
          <w:szCs w:val="32"/>
          <w:lang w:eastAsia="zh-CN"/>
          <w14:textFill>
            <w14:solidFill>
              <w14:schemeClr w14:val="tx1"/>
            </w14:solidFill>
          </w14:textFill>
        </w:rPr>
        <w:t>、规章的规定</w:t>
      </w:r>
      <w:r>
        <w:rPr>
          <w:rFonts w:hint="eastAsia" w:ascii="宋体" w:hAnsi="宋体" w:eastAsia="宋体" w:cs="宋体"/>
          <w:b w:val="0"/>
          <w:bCs w:val="0"/>
          <w:color w:val="000000" w:themeColor="text1"/>
          <w:sz w:val="24"/>
          <w:szCs w:val="32"/>
          <w14:textFill>
            <w14:solidFill>
              <w14:schemeClr w14:val="tx1"/>
            </w14:solidFill>
          </w14:textFill>
        </w:rPr>
        <w:t>，从事计量检定活动客观独立、科学公正。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szCs w:val="32"/>
          <w14:textFill>
            <w14:solidFill>
              <w14:schemeClr w14:val="tx1"/>
            </w14:solidFill>
          </w14:textFill>
        </w:rPr>
        <w:t>（二）本企业已配备与</w:t>
      </w:r>
      <w:r>
        <w:rPr>
          <w:rFonts w:hint="eastAsia" w:ascii="宋体" w:hAnsi="宋体" w:cs="宋体"/>
          <w:b w:val="0"/>
          <w:bCs w:val="0"/>
          <w:color w:val="000000" w:themeColor="text1"/>
          <w:sz w:val="24"/>
          <w:szCs w:val="32"/>
          <w:lang w:eastAsia="zh-CN"/>
          <w14:textFill>
            <w14:solidFill>
              <w14:schemeClr w14:val="tx1"/>
            </w14:solidFill>
          </w14:textFill>
        </w:rPr>
        <w:t>上述申请</w:t>
      </w:r>
      <w:r>
        <w:rPr>
          <w:rFonts w:hint="eastAsia" w:ascii="宋体" w:hAnsi="宋体" w:eastAsia="宋体" w:cs="宋体"/>
          <w:b w:val="0"/>
          <w:bCs w:val="0"/>
          <w:color w:val="000000" w:themeColor="text1"/>
          <w:sz w:val="24"/>
          <w:szCs w:val="32"/>
          <w14:textFill>
            <w14:solidFill>
              <w14:schemeClr w14:val="tx1"/>
            </w14:solidFill>
          </w14:textFill>
        </w:rPr>
        <w:t>检定</w:t>
      </w:r>
      <w:r>
        <w:rPr>
          <w:rFonts w:hint="eastAsia" w:ascii="宋体" w:hAnsi="宋体" w:cs="宋体"/>
          <w:b w:val="0"/>
          <w:bCs w:val="0"/>
          <w:color w:val="000000" w:themeColor="text1"/>
          <w:sz w:val="24"/>
          <w:szCs w:val="32"/>
          <w:lang w:eastAsia="zh-CN"/>
          <w14:textFill>
            <w14:solidFill>
              <w14:schemeClr w14:val="tx1"/>
            </w14:solidFill>
          </w14:textFill>
        </w:rPr>
        <w:t>任务</w:t>
      </w:r>
      <w:r>
        <w:rPr>
          <w:rFonts w:hint="eastAsia" w:ascii="宋体" w:hAnsi="宋体" w:eastAsia="宋体" w:cs="宋体"/>
          <w:b w:val="0"/>
          <w:bCs w:val="0"/>
          <w:color w:val="000000" w:themeColor="text1"/>
          <w:sz w:val="24"/>
          <w:szCs w:val="32"/>
          <w14:textFill>
            <w14:solidFill>
              <w14:schemeClr w14:val="tx1"/>
            </w14:solidFill>
          </w14:textFill>
        </w:rPr>
        <w:t>数量相匹配的、满足</w:t>
      </w:r>
      <w:r>
        <w:rPr>
          <w:rFonts w:hint="eastAsia" w:ascii="宋体" w:hAnsi="宋体" w:cs="宋体"/>
          <w:b w:val="0"/>
          <w:bCs w:val="0"/>
          <w:color w:val="000000" w:themeColor="text1"/>
          <w:sz w:val="24"/>
          <w:szCs w:val="32"/>
          <w:lang w:eastAsia="zh-CN"/>
          <w14:textFill>
            <w14:solidFill>
              <w14:schemeClr w14:val="tx1"/>
            </w14:solidFill>
          </w14:textFill>
        </w:rPr>
        <w:t>相应计量检定规程</w:t>
      </w:r>
      <w:r>
        <w:rPr>
          <w:rFonts w:hint="eastAsia" w:ascii="宋体" w:hAnsi="宋体" w:eastAsia="宋体" w:cs="宋体"/>
          <w:b w:val="0"/>
          <w:bCs w:val="0"/>
          <w:color w:val="000000" w:themeColor="text1"/>
          <w:sz w:val="24"/>
          <w:szCs w:val="32"/>
          <w14:textFill>
            <w14:solidFill>
              <w14:schemeClr w14:val="tx1"/>
            </w14:solidFill>
          </w14:textFill>
        </w:rPr>
        <w:t>规定要求的计量标准装置、配套设施和检定人员，</w:t>
      </w:r>
      <w:r>
        <w:rPr>
          <w:rFonts w:hint="eastAsia" w:ascii="宋体" w:hAnsi="宋体" w:cs="宋体"/>
          <w:b w:val="0"/>
          <w:bCs w:val="0"/>
          <w:color w:val="000000" w:themeColor="text1"/>
          <w:sz w:val="24"/>
          <w:szCs w:val="32"/>
          <w:lang w:eastAsia="zh-CN"/>
          <w14:textFill>
            <w14:solidFill>
              <w14:schemeClr w14:val="tx1"/>
            </w14:solidFill>
          </w14:textFill>
        </w:rPr>
        <w:t>相关实验室环境条件</w:t>
      </w:r>
      <w:r>
        <w:rPr>
          <w:rFonts w:hint="eastAsia" w:ascii="宋体" w:hAnsi="宋体" w:eastAsia="宋体" w:cs="宋体"/>
          <w:b w:val="0"/>
          <w:bCs w:val="0"/>
          <w:color w:val="000000" w:themeColor="text1"/>
          <w:sz w:val="24"/>
          <w:szCs w:val="32"/>
          <w14:textFill>
            <w14:solidFill>
              <w14:schemeClr w14:val="tx1"/>
            </w14:solidFill>
          </w14:textFill>
        </w:rPr>
        <w:t>能满足检定任务需要。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szCs w:val="32"/>
          <w14:textFill>
            <w14:solidFill>
              <w14:schemeClr w14:val="tx1"/>
            </w14:solidFill>
          </w14:textFill>
        </w:rPr>
        <w:t>（三）本企业已建立保证计量检定结果公正、准确的有关工作制度和管理制度，有效运行质量管理体系。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u w:val="none"/>
          <w14:textFill>
            <w14:solidFill>
              <w14:schemeClr w14:val="tx1"/>
            </w14:solidFill>
          </w14:textFill>
        </w:rPr>
      </w:pPr>
      <w:r>
        <w:rPr>
          <w:rFonts w:hint="eastAsia" w:ascii="宋体" w:hAnsi="宋体" w:eastAsia="宋体" w:cs="宋体"/>
          <w:b w:val="0"/>
          <w:bCs w:val="0"/>
          <w:color w:val="000000" w:themeColor="text1"/>
          <w:sz w:val="24"/>
          <w:szCs w:val="32"/>
          <w14:textFill>
            <w14:solidFill>
              <w14:schemeClr w14:val="tx1"/>
            </w14:solidFill>
          </w14:textFill>
        </w:rPr>
        <w:t>（四）本企业对生产</w:t>
      </w:r>
      <w:r>
        <w:rPr>
          <w:rFonts w:hint="eastAsia" w:ascii="宋体" w:hAnsi="宋体" w:eastAsia="宋体" w:cs="宋体"/>
          <w:b w:val="0"/>
          <w:bCs w:val="0"/>
          <w:color w:val="000000" w:themeColor="text1"/>
          <w:sz w:val="24"/>
          <w:szCs w:val="32"/>
          <w:u w:val="none"/>
          <w14:textFill>
            <w14:solidFill>
              <w14:schemeClr w14:val="tx1"/>
            </w14:solidFill>
          </w14:textFill>
        </w:rPr>
        <w:t>的</w:t>
      </w:r>
      <w:r>
        <w:rPr>
          <w:rFonts w:hint="eastAsia" w:ascii="宋体" w:hAnsi="宋体" w:cs="宋体"/>
          <w:b w:val="0"/>
          <w:bCs w:val="0"/>
          <w:color w:val="000000" w:themeColor="text1"/>
          <w:sz w:val="24"/>
          <w:szCs w:val="32"/>
          <w:u w:val="none"/>
          <w:lang w:eastAsia="zh-CN"/>
          <w14:textFill>
            <w14:solidFill>
              <w14:schemeClr w14:val="tx1"/>
            </w14:solidFill>
          </w14:textFill>
        </w:rPr>
        <w:t>所有水表</w:t>
      </w:r>
      <w:r>
        <w:rPr>
          <w:rFonts w:hint="eastAsia" w:ascii="宋体" w:hAnsi="宋体" w:cs="宋体"/>
          <w:b w:val="0"/>
          <w:bCs w:val="0"/>
          <w:color w:val="000000" w:themeColor="text1"/>
          <w:sz w:val="24"/>
          <w:szCs w:val="32"/>
          <w:u w:val="none"/>
          <w:lang w:val="en-US" w:eastAsia="zh-CN"/>
          <w14:textFill>
            <w14:solidFill>
              <w14:schemeClr w14:val="tx1"/>
            </w14:solidFill>
          </w14:textFill>
        </w:rPr>
        <w:t>/</w:t>
      </w:r>
      <w:r>
        <w:rPr>
          <w:rFonts w:hint="eastAsia" w:ascii="宋体" w:hAnsi="宋体" w:cs="宋体"/>
          <w:b w:val="0"/>
          <w:bCs w:val="0"/>
          <w:color w:val="000000" w:themeColor="text1"/>
          <w:sz w:val="24"/>
          <w:szCs w:val="32"/>
          <w:u w:val="none"/>
          <w:lang w:eastAsia="zh-CN"/>
          <w14:textFill>
            <w14:solidFill>
              <w14:schemeClr w14:val="tx1"/>
            </w14:solidFill>
          </w14:textFill>
        </w:rPr>
        <w:t>燃气表，均承诺在出厂前依据国家检定规程，实施全</w:t>
      </w:r>
      <w:r>
        <w:rPr>
          <w:rFonts w:hint="eastAsia" w:ascii="宋体" w:hAnsi="宋体" w:eastAsia="宋体" w:cs="宋体"/>
          <w:b w:val="0"/>
          <w:bCs w:val="0"/>
          <w:color w:val="000000" w:themeColor="text1"/>
          <w:sz w:val="24"/>
          <w:szCs w:val="32"/>
          <w:u w:val="none"/>
          <w14:textFill>
            <w14:solidFill>
              <w14:schemeClr w14:val="tx1"/>
            </w14:solidFill>
          </w14:textFill>
        </w:rPr>
        <w:t>数量、全项目的检定</w:t>
      </w:r>
      <w:r>
        <w:rPr>
          <w:rFonts w:hint="eastAsia" w:ascii="宋体" w:hAnsi="宋体" w:cs="宋体"/>
          <w:b w:val="0"/>
          <w:bCs w:val="0"/>
          <w:color w:val="000000" w:themeColor="text1"/>
          <w:sz w:val="24"/>
          <w:szCs w:val="32"/>
          <w:u w:val="none"/>
          <w:lang w:eastAsia="zh-CN"/>
          <w14:textFill>
            <w14:solidFill>
              <w14:schemeClr w14:val="tx1"/>
            </w14:solidFill>
          </w14:textFill>
        </w:rPr>
        <w:t>强制检定</w:t>
      </w:r>
      <w:r>
        <w:rPr>
          <w:rFonts w:hint="eastAsia" w:ascii="宋体" w:hAnsi="宋体" w:eastAsia="宋体" w:cs="宋体"/>
          <w:b w:val="0"/>
          <w:bCs w:val="0"/>
          <w:color w:val="000000" w:themeColor="text1"/>
          <w:sz w:val="24"/>
          <w:szCs w:val="32"/>
          <w:u w:val="none"/>
          <w14:textFill>
            <w14:solidFill>
              <w14:schemeClr w14:val="tx1"/>
            </w14:solidFill>
          </w14:textFill>
        </w:rPr>
        <w:t>，保证单台产品计量性能合格，并致力于使每批次产品的平均示值误差趋向于零。绝不允许任何未经检定或检定不合格的表具出厂。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000000" w:themeColor="text1"/>
          <w:sz w:val="24"/>
          <w:szCs w:val="32"/>
          <w:lang w:eastAsia="zh-CN"/>
          <w14:textFill>
            <w14:solidFill>
              <w14:schemeClr w14:val="tx1"/>
            </w14:solidFill>
          </w14:textFill>
        </w:rPr>
      </w:pPr>
      <w:r>
        <w:rPr>
          <w:rFonts w:hint="eastAsia" w:ascii="宋体" w:hAnsi="宋体" w:cs="宋体"/>
          <w:b w:val="0"/>
          <w:bCs w:val="0"/>
          <w:color w:val="000000" w:themeColor="text1"/>
          <w:sz w:val="24"/>
          <w:szCs w:val="32"/>
          <w:lang w:eastAsia="zh-CN"/>
          <w14:textFill>
            <w14:solidFill>
              <w14:schemeClr w14:val="tx1"/>
            </w14:solidFill>
          </w14:textFill>
        </w:rPr>
        <w:t>（五）本企业已具备与“河南智慧计量监管平台”进行数据对接的软硬件条件和信息化管理能力，承诺在企业获得授权后，严格按照规定将出厂检定的全项目、全数量数据实时、完整、准确地上传至省平台，并保证数据的真实性与不可篡改性，接受监管部门的监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本企业严格履行以上承诺，如有违反，愿意承担由此引起的法律责任。</w:t>
      </w:r>
    </w:p>
    <w:p>
      <w:pPr>
        <w:keepNext w:val="0"/>
        <w:keepLines w:val="0"/>
        <w:pageBreakBefore w:val="0"/>
        <w:widowControl w:val="0"/>
        <w:kinsoku/>
        <w:wordWrap w:val="0"/>
        <w:overflowPunct/>
        <w:topLinePunct w:val="0"/>
        <w:autoSpaceDE/>
        <w:autoSpaceDN/>
        <w:bidi w:val="0"/>
        <w:adjustRightInd/>
        <w:snapToGrid/>
        <w:spacing w:before="313" w:beforeLines="100" w:line="460" w:lineRule="exact"/>
        <w:ind w:firstLine="480" w:firstLineChars="200"/>
        <w:jc w:val="both"/>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单位（盖章）       法定代表人（签字）</w:t>
      </w:r>
    </w:p>
    <w:p>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right"/>
        <w:textAlignment w:val="auto"/>
        <w:rPr>
          <w:rFonts w:hint="eastAsia" w:ascii="宋体" w:hAnsi="宋体" w:cs="宋体"/>
          <w:sz w:val="24"/>
          <w:szCs w:val="32"/>
          <w:lang w:val="en-US" w:eastAsia="zh-CN"/>
        </w:rPr>
      </w:pPr>
      <w:r>
        <w:rPr>
          <w:rFonts w:hint="eastAsia" w:ascii="宋体" w:hAnsi="宋体" w:eastAsia="宋体" w:cs="宋体"/>
          <w:sz w:val="24"/>
          <w:szCs w:val="32"/>
        </w:rPr>
        <w:t>年   月   日</w:t>
      </w:r>
      <w:r>
        <w:rPr>
          <w:rFonts w:hint="eastAsia" w:ascii="宋体" w:hAnsi="宋体" w:cs="宋体"/>
          <w:sz w:val="24"/>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460" w:lineRule="exact"/>
        <w:textAlignment w:val="auto"/>
        <w:rPr>
          <w:rFonts w:hint="eastAsia" w:ascii="宋体" w:hAnsi="宋体" w:cs="宋体"/>
          <w:sz w:val="24"/>
          <w:szCs w:val="32"/>
          <w:lang w:val="en-US" w:eastAsia="zh-CN"/>
        </w:rPr>
      </w:pPr>
      <w:r>
        <w:rPr>
          <w:rFonts w:hint="eastAsia" w:ascii="宋体" w:hAnsi="宋体" w:cs="宋体"/>
          <w:sz w:val="24"/>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“二检合一”诚信计量承诺书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本企业已获得河南省民用水表、燃气表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“二检合一”《专项计量授权证书》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，为自觉接受社会监督、履行信用责任，郑重</w:t>
      </w:r>
      <w:r>
        <w:rPr>
          <w:rFonts w:hint="eastAsia" w:ascii="仿宋_GB2312" w:hAnsi="仿宋_GB2312" w:eastAsia="仿宋_GB2312" w:cs="仿宋_GB2312"/>
          <w:color w:val="000000" w:themeColor="text1"/>
          <w:sz w:val="32"/>
          <w:szCs w:val="32"/>
          <w14:textFill>
            <w14:solidFill>
              <w14:schemeClr w14:val="tx1"/>
            </w14:solidFill>
          </w14:textFill>
        </w:rPr>
        <w:t>向社会公开承诺如下：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一、严格遵守法律法规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及全体员工承诺严格遵守《中华人民共和国计量法》</w:t>
      </w:r>
      <w:r>
        <w:rPr>
          <w:rFonts w:hint="eastAsia" w:ascii="仿宋_GB2312" w:hAnsi="仿宋_GB2312" w:eastAsia="仿宋_GB2312" w:cs="仿宋_GB2312"/>
          <w:sz w:val="32"/>
          <w:szCs w:val="32"/>
          <w:lang w:val="en-US" w:eastAsia="zh-CN"/>
        </w:rPr>
        <w:t>及相关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规章的规定</w:t>
      </w:r>
      <w:r>
        <w:rPr>
          <w:rFonts w:hint="eastAsia" w:ascii="仿宋_GB2312" w:hAnsi="仿宋_GB2312" w:eastAsia="仿宋_GB2312" w:cs="仿宋_GB2312"/>
          <w:sz w:val="32"/>
          <w:szCs w:val="32"/>
        </w:rPr>
        <w:t>，从事“二检合一”检定活动客观独立、公平公正，对所有检定结果的真实性和准确性承担全部法律责任。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有效运行管理体系</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承诺建立并</w:t>
      </w:r>
      <w:r>
        <w:rPr>
          <w:rFonts w:hint="eastAsia" w:ascii="仿宋_GB2312" w:hAnsi="仿宋_GB2312" w:eastAsia="仿宋_GB2312" w:cs="仿宋_GB2312"/>
          <w:sz w:val="32"/>
          <w:szCs w:val="32"/>
          <w:lang w:val="en-US" w:eastAsia="zh-CN"/>
        </w:rPr>
        <w:t>实施与所授权范围相适应的</w:t>
      </w:r>
      <w:r>
        <w:rPr>
          <w:rFonts w:hint="eastAsia" w:ascii="仿宋_GB2312" w:hAnsi="仿宋_GB2312" w:eastAsia="仿宋_GB2312" w:cs="仿宋_GB2312"/>
          <w:sz w:val="32"/>
          <w:szCs w:val="32"/>
        </w:rPr>
        <w:t>计量管理体系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确保其持续有效运行并不断改进。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三、确保资源持续符合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企业</w:t>
      </w:r>
      <w:r>
        <w:rPr>
          <w:rFonts w:hint="default" w:ascii="仿宋_GB2312" w:hAnsi="仿宋_GB2312" w:eastAsia="仿宋_GB2312" w:cs="仿宋_GB2312"/>
          <w:sz w:val="32"/>
          <w:szCs w:val="32"/>
        </w:rPr>
        <w:t>承诺持续配备与生产检定规模相匹配、完全满足检定规程要求的计量标准装</w:t>
      </w:r>
      <w:r>
        <w:rPr>
          <w:rFonts w:hint="eastAsia" w:ascii="仿宋_GB2312" w:hAnsi="仿宋_GB2312" w:eastAsia="仿宋_GB2312" w:cs="仿宋_GB2312"/>
          <w:sz w:val="32"/>
          <w:szCs w:val="32"/>
        </w:rPr>
        <w:t>置、配套设施和检定人员。所有检定人员均持有相应项目的注册计量师资格并经授权上岗，确保工作环境满足检定任务需要。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四、严格履行出厂检定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对生产的每一台民用水表、燃气表，均在出厂前依据国家计量检定规程实施全数量、全项目的计量检定，保证单台产品计量性能合格，并致力于使每批次产品的平均示值误差趋向于零。绝不允许任何未经检定或检定不合格的表具出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五、自觉接受全面监管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承诺：将每只表具的检定数据实时、完整、准确地上传至</w:t>
      </w:r>
      <w:r>
        <w:rPr>
          <w:rFonts w:hint="eastAsia" w:ascii="仿宋_GB2312" w:hAnsi="仿宋_GB2312" w:eastAsia="仿宋_GB2312" w:cs="仿宋_GB2312"/>
          <w:color w:val="auto"/>
          <w:sz w:val="32"/>
          <w:szCs w:val="32"/>
        </w:rPr>
        <w:t>“河南智慧</w:t>
      </w:r>
      <w:r>
        <w:rPr>
          <w:rFonts w:hint="eastAsia" w:ascii="仿宋_GB2312" w:hAnsi="仿宋_GB2312" w:eastAsia="仿宋_GB2312" w:cs="仿宋_GB2312"/>
          <w:color w:val="auto"/>
          <w:sz w:val="32"/>
          <w:szCs w:val="32"/>
          <w:lang w:eastAsia="zh-CN"/>
        </w:rPr>
        <w:t>计量监管</w:t>
      </w:r>
      <w:r>
        <w:rPr>
          <w:rFonts w:hint="eastAsia" w:ascii="仿宋_GB2312" w:hAnsi="仿宋_GB2312" w:eastAsia="仿宋_GB2312" w:cs="仿宋_GB2312"/>
          <w:color w:val="auto"/>
          <w:sz w:val="32"/>
          <w:szCs w:val="32"/>
        </w:rPr>
        <w:t>平台”，</w:t>
      </w:r>
      <w:r>
        <w:rPr>
          <w:rFonts w:hint="eastAsia" w:ascii="仿宋_GB2312" w:hAnsi="仿宋_GB2312" w:eastAsia="仿宋_GB2312" w:cs="仿宋_GB2312"/>
          <w:sz w:val="32"/>
          <w:szCs w:val="32"/>
        </w:rPr>
        <w:t>主动接受政府、经营单位和公众监督。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无条件接受并配合市场监管部门组织的安装前监督抽样检定。如抽检不合格，将立即暂停该批次表具安装，并承担全批退货、整改及相应费用。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rPr>
        <w:t>严格落实计量失准救济责任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经确认属于本企业责任且计量失准的表具，承诺依法依规及时进行退货、更换等处理。若同一型号产品因计量问题引发集中投诉或显示系统性风险，将主动配合市场监管部门调查，并自愿接受包括暂停该型号生产及授权在内的相应处理措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六、承担失信违法责任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本企业郑重声明，将严格履行以上承诺。如有违反，愿意承担相应的法律责任，并接受市场监管部门依法依规作出的处理。相关违法失信信息将依据国家及本省规定纳入企业信用记录，并依法予以公示。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承诺单位（盖章）：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宋体" w:hAnsi="宋体" w:eastAsia="仿宋_GB2312" w:cs="宋体"/>
          <w:sz w:val="24"/>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531" w:bottom="1814" w:left="1531"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imbus Roman">
    <w:panose1 w:val="00000500000000000000"/>
    <w:charset w:val="00"/>
    <w:family w:val="auto"/>
    <w:pitch w:val="default"/>
    <w:sig w:usb0="00000287" w:usb1="00000800" w:usb2="00000000" w:usb3="00000000" w:csb0="6000009F" w:csb1="00000000"/>
  </w:font>
  <w:font w:name="CESI仿宋-GB2312">
    <w:panose1 w:val="02000500000000000000"/>
    <w:charset w:val="86"/>
    <w:family w:val="auto"/>
    <w:pitch w:val="default"/>
    <w:sig w:usb0="800002AF" w:usb1="084F6CF8" w:usb2="00000010" w:usb3="00000000" w:csb0="0004000F" w:csb1="00000000"/>
  </w:font>
  <w:font w:name="方正公文黑体">
    <w:altName w:val="方正黑体_GBK"/>
    <w:panose1 w:val="02000500000000000000"/>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EE3EC"/>
    <w:multiLevelType w:val="singleLevel"/>
    <w:tmpl w:val="E75EE3EC"/>
    <w:lvl w:ilvl="0" w:tentative="0">
      <w:start w:val="2"/>
      <w:numFmt w:val="chineseCounting"/>
      <w:suff w:val="nothing"/>
      <w:lvlText w:val="（%1）"/>
      <w:lvlJc w:val="left"/>
      <w:rPr>
        <w:rFonts w:hint="eastAsia"/>
      </w:rPr>
    </w:lvl>
  </w:abstractNum>
  <w:abstractNum w:abstractNumId="1">
    <w:nsid w:val="0EC3142B"/>
    <w:multiLevelType w:val="multilevel"/>
    <w:tmpl w:val="0EC3142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F2E47E"/>
    <w:multiLevelType w:val="singleLevel"/>
    <w:tmpl w:val="3DF2E47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NzUzNDY1OWJmNGJkZTUyZjRiNjViZTI3NDQ3OTYifQ=="/>
  </w:docVars>
  <w:rsids>
    <w:rsidRoot w:val="00000000"/>
    <w:rsid w:val="00172E56"/>
    <w:rsid w:val="0504093A"/>
    <w:rsid w:val="06FCBD6F"/>
    <w:rsid w:val="0B7DB707"/>
    <w:rsid w:val="0BBA2BB3"/>
    <w:rsid w:val="0BBEDBA9"/>
    <w:rsid w:val="0DFF6630"/>
    <w:rsid w:val="0E7FD4ED"/>
    <w:rsid w:val="0EDFA0E6"/>
    <w:rsid w:val="0EF124AA"/>
    <w:rsid w:val="117F2981"/>
    <w:rsid w:val="12E5521F"/>
    <w:rsid w:val="13F3E1C4"/>
    <w:rsid w:val="14384B7A"/>
    <w:rsid w:val="15BE730C"/>
    <w:rsid w:val="16EE00D2"/>
    <w:rsid w:val="173F161E"/>
    <w:rsid w:val="1779809D"/>
    <w:rsid w:val="17BD78FA"/>
    <w:rsid w:val="17BF4A17"/>
    <w:rsid w:val="17EBE127"/>
    <w:rsid w:val="17EFF164"/>
    <w:rsid w:val="18FD02D3"/>
    <w:rsid w:val="19FF4A9F"/>
    <w:rsid w:val="19FF5C13"/>
    <w:rsid w:val="1BD4C9E5"/>
    <w:rsid w:val="1BDF3BE0"/>
    <w:rsid w:val="1BFBFC16"/>
    <w:rsid w:val="1BFE7C1C"/>
    <w:rsid w:val="1D0E8EFE"/>
    <w:rsid w:val="1DB38CA6"/>
    <w:rsid w:val="1DD6ED1C"/>
    <w:rsid w:val="1DF7BBB7"/>
    <w:rsid w:val="1EFD90A4"/>
    <w:rsid w:val="1F9B1F4F"/>
    <w:rsid w:val="1FFE17B4"/>
    <w:rsid w:val="1FFF787F"/>
    <w:rsid w:val="21374679"/>
    <w:rsid w:val="23F71C3C"/>
    <w:rsid w:val="247FA0F1"/>
    <w:rsid w:val="27DCEC5E"/>
    <w:rsid w:val="29FBF8E1"/>
    <w:rsid w:val="2AFFA2CF"/>
    <w:rsid w:val="2B7FBEAF"/>
    <w:rsid w:val="2BDE59A8"/>
    <w:rsid w:val="2BDF75B8"/>
    <w:rsid w:val="2C77B4B3"/>
    <w:rsid w:val="2D7714B8"/>
    <w:rsid w:val="2DFCA357"/>
    <w:rsid w:val="2EDF1C5E"/>
    <w:rsid w:val="2F4FC41B"/>
    <w:rsid w:val="2F6E975D"/>
    <w:rsid w:val="2FBE45BD"/>
    <w:rsid w:val="2FF4D772"/>
    <w:rsid w:val="2FFD6D29"/>
    <w:rsid w:val="31AF070B"/>
    <w:rsid w:val="337E49A6"/>
    <w:rsid w:val="33E77B98"/>
    <w:rsid w:val="33FB5BCC"/>
    <w:rsid w:val="3475377B"/>
    <w:rsid w:val="356BEAEA"/>
    <w:rsid w:val="35B659F0"/>
    <w:rsid w:val="35BB01AE"/>
    <w:rsid w:val="35CF5778"/>
    <w:rsid w:val="36E23F08"/>
    <w:rsid w:val="36FD6B80"/>
    <w:rsid w:val="36FFB38E"/>
    <w:rsid w:val="371EEE09"/>
    <w:rsid w:val="375FD70E"/>
    <w:rsid w:val="37942C77"/>
    <w:rsid w:val="37AFB55E"/>
    <w:rsid w:val="37BCA6AE"/>
    <w:rsid w:val="37D70407"/>
    <w:rsid w:val="37DFC47A"/>
    <w:rsid w:val="37FA3F4F"/>
    <w:rsid w:val="37FE808E"/>
    <w:rsid w:val="37FFFC1F"/>
    <w:rsid w:val="38FF9CEA"/>
    <w:rsid w:val="399D9A15"/>
    <w:rsid w:val="39CAD1DA"/>
    <w:rsid w:val="39DC27DD"/>
    <w:rsid w:val="39EEA724"/>
    <w:rsid w:val="39FB905B"/>
    <w:rsid w:val="3A675EC8"/>
    <w:rsid w:val="3B371CA9"/>
    <w:rsid w:val="3B3CAFA9"/>
    <w:rsid w:val="3B3F0C6E"/>
    <w:rsid w:val="3B5E1226"/>
    <w:rsid w:val="3B7D536B"/>
    <w:rsid w:val="3B936823"/>
    <w:rsid w:val="3BBE3888"/>
    <w:rsid w:val="3BBE6AF5"/>
    <w:rsid w:val="3BD697D0"/>
    <w:rsid w:val="3BF585BA"/>
    <w:rsid w:val="3BFA505C"/>
    <w:rsid w:val="3BFF0A8D"/>
    <w:rsid w:val="3BFFA57E"/>
    <w:rsid w:val="3BFFFA78"/>
    <w:rsid w:val="3CC76A18"/>
    <w:rsid w:val="3CE35299"/>
    <w:rsid w:val="3CEC704C"/>
    <w:rsid w:val="3D2F09CA"/>
    <w:rsid w:val="3D38B922"/>
    <w:rsid w:val="3E5BFD26"/>
    <w:rsid w:val="3EAB0813"/>
    <w:rsid w:val="3EBB63BF"/>
    <w:rsid w:val="3EBD8CB6"/>
    <w:rsid w:val="3EBDA985"/>
    <w:rsid w:val="3EEEE2DE"/>
    <w:rsid w:val="3EF9AE7A"/>
    <w:rsid w:val="3EFF7092"/>
    <w:rsid w:val="3F3EBCE6"/>
    <w:rsid w:val="3F3F7440"/>
    <w:rsid w:val="3F73AF06"/>
    <w:rsid w:val="3F746F8F"/>
    <w:rsid w:val="3F75F903"/>
    <w:rsid w:val="3F7E72D6"/>
    <w:rsid w:val="3F7FDDDD"/>
    <w:rsid w:val="3F997368"/>
    <w:rsid w:val="3F9F89A2"/>
    <w:rsid w:val="3FAD1F8B"/>
    <w:rsid w:val="3FBDE0C5"/>
    <w:rsid w:val="3FC92691"/>
    <w:rsid w:val="3FDA5247"/>
    <w:rsid w:val="3FDE0C36"/>
    <w:rsid w:val="3FEBB44F"/>
    <w:rsid w:val="3FED9B54"/>
    <w:rsid w:val="3FF0D2A4"/>
    <w:rsid w:val="3FF1DC72"/>
    <w:rsid w:val="3FF4DFD6"/>
    <w:rsid w:val="3FF662E3"/>
    <w:rsid w:val="3FF7B448"/>
    <w:rsid w:val="3FFC6ED9"/>
    <w:rsid w:val="3FFF9931"/>
    <w:rsid w:val="3FFFD7F1"/>
    <w:rsid w:val="45CD9602"/>
    <w:rsid w:val="460EA1E5"/>
    <w:rsid w:val="467F70E6"/>
    <w:rsid w:val="46DB25C0"/>
    <w:rsid w:val="472BC943"/>
    <w:rsid w:val="477F8521"/>
    <w:rsid w:val="47AEFE42"/>
    <w:rsid w:val="47CF5207"/>
    <w:rsid w:val="47EFB320"/>
    <w:rsid w:val="47F65E7B"/>
    <w:rsid w:val="49FF6182"/>
    <w:rsid w:val="4A2E0A27"/>
    <w:rsid w:val="4A5DFDA1"/>
    <w:rsid w:val="4AE66BEE"/>
    <w:rsid w:val="4B6F10E4"/>
    <w:rsid w:val="4B7AE899"/>
    <w:rsid w:val="4B7DFA9F"/>
    <w:rsid w:val="4D8EA23A"/>
    <w:rsid w:val="4D9F0AC3"/>
    <w:rsid w:val="4E1D23B5"/>
    <w:rsid w:val="4E5E84EF"/>
    <w:rsid w:val="4EFAE0F2"/>
    <w:rsid w:val="4F3CF7F4"/>
    <w:rsid w:val="4F7C7490"/>
    <w:rsid w:val="4F9A5A3C"/>
    <w:rsid w:val="4FBD9257"/>
    <w:rsid w:val="4FF8333A"/>
    <w:rsid w:val="4FFEA6A0"/>
    <w:rsid w:val="4FFFB3A3"/>
    <w:rsid w:val="50AFFEE9"/>
    <w:rsid w:val="537CB8C4"/>
    <w:rsid w:val="537D8D5A"/>
    <w:rsid w:val="53E14036"/>
    <w:rsid w:val="53FD2949"/>
    <w:rsid w:val="53FFACCA"/>
    <w:rsid w:val="54CEA59B"/>
    <w:rsid w:val="54F71E7F"/>
    <w:rsid w:val="55771473"/>
    <w:rsid w:val="55C72119"/>
    <w:rsid w:val="55DF82FD"/>
    <w:rsid w:val="55FF82DC"/>
    <w:rsid w:val="565E3C1C"/>
    <w:rsid w:val="56FAF251"/>
    <w:rsid w:val="571F57D4"/>
    <w:rsid w:val="575BC364"/>
    <w:rsid w:val="575D7E53"/>
    <w:rsid w:val="57780FD8"/>
    <w:rsid w:val="57BCCABD"/>
    <w:rsid w:val="57BF4AEA"/>
    <w:rsid w:val="57BFB478"/>
    <w:rsid w:val="57D53D16"/>
    <w:rsid w:val="57FB38AD"/>
    <w:rsid w:val="57FEE443"/>
    <w:rsid w:val="57FF318D"/>
    <w:rsid w:val="58535244"/>
    <w:rsid w:val="59E72FBD"/>
    <w:rsid w:val="59EB24AC"/>
    <w:rsid w:val="59EF7EFF"/>
    <w:rsid w:val="59F5D09E"/>
    <w:rsid w:val="5ACF0104"/>
    <w:rsid w:val="5AF7FB8C"/>
    <w:rsid w:val="5B7968AC"/>
    <w:rsid w:val="5BBF0F58"/>
    <w:rsid w:val="5BE7BFAA"/>
    <w:rsid w:val="5BECB540"/>
    <w:rsid w:val="5BFE6F87"/>
    <w:rsid w:val="5C346BC0"/>
    <w:rsid w:val="5CCF3D84"/>
    <w:rsid w:val="5CD76778"/>
    <w:rsid w:val="5DBE31AD"/>
    <w:rsid w:val="5DCEE25E"/>
    <w:rsid w:val="5DDA7F31"/>
    <w:rsid w:val="5DDBD7ED"/>
    <w:rsid w:val="5DDE19FD"/>
    <w:rsid w:val="5DDE20A4"/>
    <w:rsid w:val="5DEF9A5D"/>
    <w:rsid w:val="5DF9FEED"/>
    <w:rsid w:val="5DFD433B"/>
    <w:rsid w:val="5DFEC49E"/>
    <w:rsid w:val="5DFF3BB8"/>
    <w:rsid w:val="5DFFEFCA"/>
    <w:rsid w:val="5E3F1602"/>
    <w:rsid w:val="5E5F7570"/>
    <w:rsid w:val="5E771865"/>
    <w:rsid w:val="5E77F755"/>
    <w:rsid w:val="5EBA07B2"/>
    <w:rsid w:val="5EDF97DF"/>
    <w:rsid w:val="5EDFF175"/>
    <w:rsid w:val="5EEF678F"/>
    <w:rsid w:val="5EF793C8"/>
    <w:rsid w:val="5EFF5113"/>
    <w:rsid w:val="5F669050"/>
    <w:rsid w:val="5F6E6034"/>
    <w:rsid w:val="5F759624"/>
    <w:rsid w:val="5F7D0F79"/>
    <w:rsid w:val="5F8F6A15"/>
    <w:rsid w:val="5F9AB9CE"/>
    <w:rsid w:val="5FAB7673"/>
    <w:rsid w:val="5FBDCB14"/>
    <w:rsid w:val="5FBF952F"/>
    <w:rsid w:val="5FBFD47E"/>
    <w:rsid w:val="5FD2081F"/>
    <w:rsid w:val="5FE5117A"/>
    <w:rsid w:val="5FE75EC9"/>
    <w:rsid w:val="5FE7758F"/>
    <w:rsid w:val="5FEC3160"/>
    <w:rsid w:val="5FEF440A"/>
    <w:rsid w:val="5FEF499F"/>
    <w:rsid w:val="5FFBC5BD"/>
    <w:rsid w:val="5FFDC39B"/>
    <w:rsid w:val="5FFF80C1"/>
    <w:rsid w:val="60B12BCB"/>
    <w:rsid w:val="61D90534"/>
    <w:rsid w:val="61FD31C1"/>
    <w:rsid w:val="63B42C2D"/>
    <w:rsid w:val="63DE3917"/>
    <w:rsid w:val="63EE12E8"/>
    <w:rsid w:val="63F8C846"/>
    <w:rsid w:val="63FB280C"/>
    <w:rsid w:val="64B21544"/>
    <w:rsid w:val="64F9A93F"/>
    <w:rsid w:val="64FF911C"/>
    <w:rsid w:val="657F2513"/>
    <w:rsid w:val="65F595E5"/>
    <w:rsid w:val="65FA68B2"/>
    <w:rsid w:val="667B5FAD"/>
    <w:rsid w:val="669D2614"/>
    <w:rsid w:val="66BDE51B"/>
    <w:rsid w:val="671E7EC7"/>
    <w:rsid w:val="677FF6FC"/>
    <w:rsid w:val="67D6C1D2"/>
    <w:rsid w:val="6937AB05"/>
    <w:rsid w:val="699DB761"/>
    <w:rsid w:val="69EEEBFD"/>
    <w:rsid w:val="69F91746"/>
    <w:rsid w:val="6A2345E4"/>
    <w:rsid w:val="6AFFF798"/>
    <w:rsid w:val="6B9C23D9"/>
    <w:rsid w:val="6BB86648"/>
    <w:rsid w:val="6BBF4709"/>
    <w:rsid w:val="6BDFBB33"/>
    <w:rsid w:val="6BE39AEA"/>
    <w:rsid w:val="6BFEA53E"/>
    <w:rsid w:val="6BFF750F"/>
    <w:rsid w:val="6BFF7B69"/>
    <w:rsid w:val="6BFFEAFD"/>
    <w:rsid w:val="6C3FFF8D"/>
    <w:rsid w:val="6D7B1150"/>
    <w:rsid w:val="6D7F1195"/>
    <w:rsid w:val="6D7FF233"/>
    <w:rsid w:val="6D9FC985"/>
    <w:rsid w:val="6DABB316"/>
    <w:rsid w:val="6DBD22D3"/>
    <w:rsid w:val="6DDFF203"/>
    <w:rsid w:val="6DF3F629"/>
    <w:rsid w:val="6DFE3B24"/>
    <w:rsid w:val="6DFF6BE1"/>
    <w:rsid w:val="6E2B0CCE"/>
    <w:rsid w:val="6E2E3F43"/>
    <w:rsid w:val="6E7FBC1E"/>
    <w:rsid w:val="6E890C4F"/>
    <w:rsid w:val="6E9EA5F3"/>
    <w:rsid w:val="6EBF9A15"/>
    <w:rsid w:val="6F3D68C2"/>
    <w:rsid w:val="6F5F2E17"/>
    <w:rsid w:val="6F6462C3"/>
    <w:rsid w:val="6F7544C4"/>
    <w:rsid w:val="6FB32070"/>
    <w:rsid w:val="6FD3548F"/>
    <w:rsid w:val="6FD6AEC8"/>
    <w:rsid w:val="6FDDDD2E"/>
    <w:rsid w:val="6FE714A0"/>
    <w:rsid w:val="6FE7A6AC"/>
    <w:rsid w:val="6FEB9EB1"/>
    <w:rsid w:val="6FEF13CC"/>
    <w:rsid w:val="6FEF387A"/>
    <w:rsid w:val="6FF71656"/>
    <w:rsid w:val="6FF769C4"/>
    <w:rsid w:val="6FFA4863"/>
    <w:rsid w:val="6FFB3CBC"/>
    <w:rsid w:val="6FFF3786"/>
    <w:rsid w:val="70EEDC1A"/>
    <w:rsid w:val="727B9102"/>
    <w:rsid w:val="736F8522"/>
    <w:rsid w:val="739F6EAC"/>
    <w:rsid w:val="739FDF02"/>
    <w:rsid w:val="73B7C314"/>
    <w:rsid w:val="73FF1CA8"/>
    <w:rsid w:val="73FFE5A7"/>
    <w:rsid w:val="747D6B5A"/>
    <w:rsid w:val="74D75B26"/>
    <w:rsid w:val="74EFFDFA"/>
    <w:rsid w:val="7574D75A"/>
    <w:rsid w:val="757DB35B"/>
    <w:rsid w:val="75F72A74"/>
    <w:rsid w:val="75FD2A73"/>
    <w:rsid w:val="75FF3A2D"/>
    <w:rsid w:val="763723C9"/>
    <w:rsid w:val="76D7A2AD"/>
    <w:rsid w:val="76EB9583"/>
    <w:rsid w:val="76EE577D"/>
    <w:rsid w:val="76F52BE4"/>
    <w:rsid w:val="774DC7D4"/>
    <w:rsid w:val="776E718F"/>
    <w:rsid w:val="777B0189"/>
    <w:rsid w:val="777FA17A"/>
    <w:rsid w:val="779D8D7D"/>
    <w:rsid w:val="779F6E87"/>
    <w:rsid w:val="77B89488"/>
    <w:rsid w:val="77BAD882"/>
    <w:rsid w:val="77BE1967"/>
    <w:rsid w:val="77BF1DEA"/>
    <w:rsid w:val="77C32ACA"/>
    <w:rsid w:val="77CEA26C"/>
    <w:rsid w:val="77DD578C"/>
    <w:rsid w:val="77DF6DC0"/>
    <w:rsid w:val="77E39879"/>
    <w:rsid w:val="77EB5AB4"/>
    <w:rsid w:val="77EBDF95"/>
    <w:rsid w:val="77EDA3E2"/>
    <w:rsid w:val="77EFDB76"/>
    <w:rsid w:val="77F98EEF"/>
    <w:rsid w:val="77FDCC1D"/>
    <w:rsid w:val="77FF4C29"/>
    <w:rsid w:val="77FFEB44"/>
    <w:rsid w:val="77FFF304"/>
    <w:rsid w:val="783F2333"/>
    <w:rsid w:val="78DFC682"/>
    <w:rsid w:val="78F620E1"/>
    <w:rsid w:val="78FE7C82"/>
    <w:rsid w:val="792FD29B"/>
    <w:rsid w:val="79755065"/>
    <w:rsid w:val="79BE5D62"/>
    <w:rsid w:val="79BFA33D"/>
    <w:rsid w:val="79E72D6B"/>
    <w:rsid w:val="79F72541"/>
    <w:rsid w:val="79FA6A3A"/>
    <w:rsid w:val="79FF7BDC"/>
    <w:rsid w:val="79FF8035"/>
    <w:rsid w:val="7A773F0B"/>
    <w:rsid w:val="7A7BDB32"/>
    <w:rsid w:val="7A7FB459"/>
    <w:rsid w:val="7AB7E3FA"/>
    <w:rsid w:val="7AD991C6"/>
    <w:rsid w:val="7AEA06EE"/>
    <w:rsid w:val="7AEB228A"/>
    <w:rsid w:val="7AF2252C"/>
    <w:rsid w:val="7AF6A192"/>
    <w:rsid w:val="7AFA064D"/>
    <w:rsid w:val="7AFD2344"/>
    <w:rsid w:val="7AFD729D"/>
    <w:rsid w:val="7B116B94"/>
    <w:rsid w:val="7B4D5240"/>
    <w:rsid w:val="7B5B7857"/>
    <w:rsid w:val="7BBFD897"/>
    <w:rsid w:val="7BBFE9AD"/>
    <w:rsid w:val="7BCE4DAA"/>
    <w:rsid w:val="7BD742C4"/>
    <w:rsid w:val="7BD8B03C"/>
    <w:rsid w:val="7BDA79EB"/>
    <w:rsid w:val="7BDA831C"/>
    <w:rsid w:val="7BDB6F40"/>
    <w:rsid w:val="7BDE1BD1"/>
    <w:rsid w:val="7BDF8133"/>
    <w:rsid w:val="7BE5CCF0"/>
    <w:rsid w:val="7BEA9544"/>
    <w:rsid w:val="7BEB1070"/>
    <w:rsid w:val="7BFA8BC4"/>
    <w:rsid w:val="7BFD9BF8"/>
    <w:rsid w:val="7BFDE10F"/>
    <w:rsid w:val="7BFE7023"/>
    <w:rsid w:val="7BFF300D"/>
    <w:rsid w:val="7BFF461A"/>
    <w:rsid w:val="7BFF51BB"/>
    <w:rsid w:val="7C3F45D6"/>
    <w:rsid w:val="7C7C95DF"/>
    <w:rsid w:val="7CA7F4CF"/>
    <w:rsid w:val="7CB54E4C"/>
    <w:rsid w:val="7CB7F6DA"/>
    <w:rsid w:val="7CBD404D"/>
    <w:rsid w:val="7CBEEA2C"/>
    <w:rsid w:val="7CD65011"/>
    <w:rsid w:val="7CF9D28B"/>
    <w:rsid w:val="7CF9FE62"/>
    <w:rsid w:val="7CFE01C5"/>
    <w:rsid w:val="7CFF3AFE"/>
    <w:rsid w:val="7D2F181A"/>
    <w:rsid w:val="7D751F89"/>
    <w:rsid w:val="7D7D8BC7"/>
    <w:rsid w:val="7D7F5B50"/>
    <w:rsid w:val="7DAF3E78"/>
    <w:rsid w:val="7DB8AB8B"/>
    <w:rsid w:val="7DB9E4C5"/>
    <w:rsid w:val="7DBFCDE0"/>
    <w:rsid w:val="7DC33D14"/>
    <w:rsid w:val="7DCFFE25"/>
    <w:rsid w:val="7DDFBC6A"/>
    <w:rsid w:val="7DEB38F0"/>
    <w:rsid w:val="7DEFCCB7"/>
    <w:rsid w:val="7DF6F991"/>
    <w:rsid w:val="7DF71E44"/>
    <w:rsid w:val="7DFB686F"/>
    <w:rsid w:val="7DFBCEAE"/>
    <w:rsid w:val="7DFE1424"/>
    <w:rsid w:val="7DFE759D"/>
    <w:rsid w:val="7DFEFB10"/>
    <w:rsid w:val="7DFF23F5"/>
    <w:rsid w:val="7DFF3FEF"/>
    <w:rsid w:val="7DFFF574"/>
    <w:rsid w:val="7E6B9D57"/>
    <w:rsid w:val="7E6D92AC"/>
    <w:rsid w:val="7E7E5523"/>
    <w:rsid w:val="7E7ED2B0"/>
    <w:rsid w:val="7EA72895"/>
    <w:rsid w:val="7EAFDA48"/>
    <w:rsid w:val="7EBB6321"/>
    <w:rsid w:val="7EBD40D5"/>
    <w:rsid w:val="7EBEAE72"/>
    <w:rsid w:val="7ECBC783"/>
    <w:rsid w:val="7EDE5948"/>
    <w:rsid w:val="7EDE846C"/>
    <w:rsid w:val="7EEAF8C2"/>
    <w:rsid w:val="7EEBFD09"/>
    <w:rsid w:val="7EEF7A16"/>
    <w:rsid w:val="7EFBE673"/>
    <w:rsid w:val="7F0EAB49"/>
    <w:rsid w:val="7F19D8BA"/>
    <w:rsid w:val="7F1DE1C3"/>
    <w:rsid w:val="7F26F44F"/>
    <w:rsid w:val="7F3CCBDD"/>
    <w:rsid w:val="7F5360F7"/>
    <w:rsid w:val="7F5F08C8"/>
    <w:rsid w:val="7F5FA56F"/>
    <w:rsid w:val="7F670EB2"/>
    <w:rsid w:val="7F676470"/>
    <w:rsid w:val="7F6F552E"/>
    <w:rsid w:val="7F6F919C"/>
    <w:rsid w:val="7F6FADDB"/>
    <w:rsid w:val="7F6FBA17"/>
    <w:rsid w:val="7F79567C"/>
    <w:rsid w:val="7F7D2299"/>
    <w:rsid w:val="7F7DF0AA"/>
    <w:rsid w:val="7F7E71AD"/>
    <w:rsid w:val="7F7F114C"/>
    <w:rsid w:val="7F7F9655"/>
    <w:rsid w:val="7F7FA9C7"/>
    <w:rsid w:val="7F7FB09F"/>
    <w:rsid w:val="7F8B8357"/>
    <w:rsid w:val="7F905C12"/>
    <w:rsid w:val="7F9A466F"/>
    <w:rsid w:val="7F9FF625"/>
    <w:rsid w:val="7FA679F3"/>
    <w:rsid w:val="7FA6A519"/>
    <w:rsid w:val="7FA7CFB5"/>
    <w:rsid w:val="7FAF3DBC"/>
    <w:rsid w:val="7FB717C5"/>
    <w:rsid w:val="7FB8045F"/>
    <w:rsid w:val="7FBE7F52"/>
    <w:rsid w:val="7FBF6904"/>
    <w:rsid w:val="7FBF909B"/>
    <w:rsid w:val="7FBFA2B6"/>
    <w:rsid w:val="7FBFA47B"/>
    <w:rsid w:val="7FBFB665"/>
    <w:rsid w:val="7FBFFB1F"/>
    <w:rsid w:val="7FC60A0E"/>
    <w:rsid w:val="7FC6A5DC"/>
    <w:rsid w:val="7FCBAAEC"/>
    <w:rsid w:val="7FCF1B4D"/>
    <w:rsid w:val="7FD0A690"/>
    <w:rsid w:val="7FDB0BF8"/>
    <w:rsid w:val="7FDDA492"/>
    <w:rsid w:val="7FDE8C1E"/>
    <w:rsid w:val="7FEB0757"/>
    <w:rsid w:val="7FEC1486"/>
    <w:rsid w:val="7FED031E"/>
    <w:rsid w:val="7FED8A7D"/>
    <w:rsid w:val="7FEDECCB"/>
    <w:rsid w:val="7FEF2F19"/>
    <w:rsid w:val="7FEF9158"/>
    <w:rsid w:val="7FF2908B"/>
    <w:rsid w:val="7FF33DE3"/>
    <w:rsid w:val="7FF3B14C"/>
    <w:rsid w:val="7FF4066C"/>
    <w:rsid w:val="7FF64B46"/>
    <w:rsid w:val="7FF6680B"/>
    <w:rsid w:val="7FFABD19"/>
    <w:rsid w:val="7FFAFD14"/>
    <w:rsid w:val="7FFB0CAA"/>
    <w:rsid w:val="7FFB24FF"/>
    <w:rsid w:val="7FFBFF54"/>
    <w:rsid w:val="7FFC2B7F"/>
    <w:rsid w:val="7FFD9AC2"/>
    <w:rsid w:val="7FFE4058"/>
    <w:rsid w:val="7FFF21A7"/>
    <w:rsid w:val="7FFF4493"/>
    <w:rsid w:val="82F8E99B"/>
    <w:rsid w:val="83FD6ED3"/>
    <w:rsid w:val="86AF42D0"/>
    <w:rsid w:val="86EF3F11"/>
    <w:rsid w:val="87F64309"/>
    <w:rsid w:val="87F6E228"/>
    <w:rsid w:val="895ED406"/>
    <w:rsid w:val="8E5D867B"/>
    <w:rsid w:val="8E63F8F4"/>
    <w:rsid w:val="8FE1146D"/>
    <w:rsid w:val="8FF18C56"/>
    <w:rsid w:val="8FFF6D01"/>
    <w:rsid w:val="94FF6A6E"/>
    <w:rsid w:val="95B7C75F"/>
    <w:rsid w:val="96EF7222"/>
    <w:rsid w:val="97AE66D7"/>
    <w:rsid w:val="985E8B9C"/>
    <w:rsid w:val="9B1F5B76"/>
    <w:rsid w:val="9B3E4562"/>
    <w:rsid w:val="9BF44C30"/>
    <w:rsid w:val="9DCF4075"/>
    <w:rsid w:val="9DD72359"/>
    <w:rsid w:val="9DFD3253"/>
    <w:rsid w:val="9E6D0021"/>
    <w:rsid w:val="9EEBE31C"/>
    <w:rsid w:val="9EF3548E"/>
    <w:rsid w:val="9EF7D636"/>
    <w:rsid w:val="9F5F44E8"/>
    <w:rsid w:val="9F7E8584"/>
    <w:rsid w:val="9F7F25CC"/>
    <w:rsid w:val="9F9F7D22"/>
    <w:rsid w:val="9FFB2D48"/>
    <w:rsid w:val="A1FADCA3"/>
    <w:rsid w:val="A29714D1"/>
    <w:rsid w:val="A2DF885D"/>
    <w:rsid w:val="A2FBAD57"/>
    <w:rsid w:val="A3EFE3DC"/>
    <w:rsid w:val="A4AFFD47"/>
    <w:rsid w:val="A57F4F9B"/>
    <w:rsid w:val="A6B57E67"/>
    <w:rsid w:val="A6F72286"/>
    <w:rsid w:val="A6F980E1"/>
    <w:rsid w:val="A7ED1114"/>
    <w:rsid w:val="A7FA766A"/>
    <w:rsid w:val="AAB752F9"/>
    <w:rsid w:val="AB7F39C3"/>
    <w:rsid w:val="AB8F9D8E"/>
    <w:rsid w:val="ABDF3031"/>
    <w:rsid w:val="AD3C813E"/>
    <w:rsid w:val="AD9BF687"/>
    <w:rsid w:val="ADCB871C"/>
    <w:rsid w:val="AEE98662"/>
    <w:rsid w:val="AEEDD910"/>
    <w:rsid w:val="AF6EBACC"/>
    <w:rsid w:val="AF7961BF"/>
    <w:rsid w:val="AFB4734B"/>
    <w:rsid w:val="AFB57456"/>
    <w:rsid w:val="AFBE99F1"/>
    <w:rsid w:val="AFD3435D"/>
    <w:rsid w:val="AFD7D6BD"/>
    <w:rsid w:val="AFDF3ABC"/>
    <w:rsid w:val="AFDFA367"/>
    <w:rsid w:val="AFF9DDBB"/>
    <w:rsid w:val="AFFF2AC9"/>
    <w:rsid w:val="AFFFCEB7"/>
    <w:rsid w:val="B137FF42"/>
    <w:rsid w:val="B1E5C8D6"/>
    <w:rsid w:val="B2F704C7"/>
    <w:rsid w:val="B3BDCEA0"/>
    <w:rsid w:val="B3D7FD42"/>
    <w:rsid w:val="B3FE1BEA"/>
    <w:rsid w:val="B57C4709"/>
    <w:rsid w:val="B57F736C"/>
    <w:rsid w:val="B5F2414C"/>
    <w:rsid w:val="B6599E64"/>
    <w:rsid w:val="B677532E"/>
    <w:rsid w:val="B6BDC176"/>
    <w:rsid w:val="B6BF735F"/>
    <w:rsid w:val="B7BFFFAA"/>
    <w:rsid w:val="B7ED53DC"/>
    <w:rsid w:val="B7F563E2"/>
    <w:rsid w:val="B7FED965"/>
    <w:rsid w:val="B8F57977"/>
    <w:rsid w:val="B9FEA642"/>
    <w:rsid w:val="B9FF95B3"/>
    <w:rsid w:val="BACDAEC5"/>
    <w:rsid w:val="BAFAC835"/>
    <w:rsid w:val="BB2CF93A"/>
    <w:rsid w:val="BB3FBF3C"/>
    <w:rsid w:val="BB777379"/>
    <w:rsid w:val="BBF70D2F"/>
    <w:rsid w:val="BBFAA6FB"/>
    <w:rsid w:val="BC0B4782"/>
    <w:rsid w:val="BCC8FA74"/>
    <w:rsid w:val="BCDE83A2"/>
    <w:rsid w:val="BCF75A1B"/>
    <w:rsid w:val="BD7F3C74"/>
    <w:rsid w:val="BDFB5931"/>
    <w:rsid w:val="BDFDCE65"/>
    <w:rsid w:val="BDFE9907"/>
    <w:rsid w:val="BE7E4B33"/>
    <w:rsid w:val="BEAF4C0F"/>
    <w:rsid w:val="BEAF73EA"/>
    <w:rsid w:val="BEB56044"/>
    <w:rsid w:val="BEB74B87"/>
    <w:rsid w:val="BEBFD486"/>
    <w:rsid w:val="BED3F3B4"/>
    <w:rsid w:val="BEDFB058"/>
    <w:rsid w:val="BEED2CF3"/>
    <w:rsid w:val="BEF3AB3B"/>
    <w:rsid w:val="BEFB1F2A"/>
    <w:rsid w:val="BEFF55CD"/>
    <w:rsid w:val="BEFFF3A0"/>
    <w:rsid w:val="BF3D105D"/>
    <w:rsid w:val="BF3F373A"/>
    <w:rsid w:val="BF7AA05E"/>
    <w:rsid w:val="BF7DEB3B"/>
    <w:rsid w:val="BF7E2720"/>
    <w:rsid w:val="BFA5385A"/>
    <w:rsid w:val="BFAB4895"/>
    <w:rsid w:val="BFAF838B"/>
    <w:rsid w:val="BFBB6CB8"/>
    <w:rsid w:val="BFBFC179"/>
    <w:rsid w:val="BFDD5883"/>
    <w:rsid w:val="BFED71B8"/>
    <w:rsid w:val="BFEE830C"/>
    <w:rsid w:val="BFEFC604"/>
    <w:rsid w:val="BFF30D6A"/>
    <w:rsid w:val="BFF3125D"/>
    <w:rsid w:val="BFFAC07F"/>
    <w:rsid w:val="BFFB5D01"/>
    <w:rsid w:val="BFFDDD97"/>
    <w:rsid w:val="BFFF5AF5"/>
    <w:rsid w:val="BFFF6058"/>
    <w:rsid w:val="BFFF64AB"/>
    <w:rsid w:val="BFFF6833"/>
    <w:rsid w:val="BFFFB036"/>
    <w:rsid w:val="BFFFC16B"/>
    <w:rsid w:val="C0A54F18"/>
    <w:rsid w:val="C1F5A1AF"/>
    <w:rsid w:val="C3BBBB61"/>
    <w:rsid w:val="C4FB057D"/>
    <w:rsid w:val="C62F5C45"/>
    <w:rsid w:val="C73C15FD"/>
    <w:rsid w:val="C75F98D9"/>
    <w:rsid w:val="C78EEC90"/>
    <w:rsid w:val="C7FE0F82"/>
    <w:rsid w:val="C9F38981"/>
    <w:rsid w:val="CA6FDF2C"/>
    <w:rsid w:val="CA9FB2EB"/>
    <w:rsid w:val="CB7BF26C"/>
    <w:rsid w:val="CBEB0DCA"/>
    <w:rsid w:val="CBEFF69D"/>
    <w:rsid w:val="CBFF1A44"/>
    <w:rsid w:val="CCEF3B8F"/>
    <w:rsid w:val="CCF49A08"/>
    <w:rsid w:val="CD2D9582"/>
    <w:rsid w:val="CDB704CF"/>
    <w:rsid w:val="CDF78162"/>
    <w:rsid w:val="CEDB6B1F"/>
    <w:rsid w:val="CEFFC690"/>
    <w:rsid w:val="CF11D64F"/>
    <w:rsid w:val="CFB3194E"/>
    <w:rsid w:val="CFF5D880"/>
    <w:rsid w:val="CFF7EBEF"/>
    <w:rsid w:val="CFFF2403"/>
    <w:rsid w:val="D1BF4A4B"/>
    <w:rsid w:val="D35F265D"/>
    <w:rsid w:val="D37CEC5B"/>
    <w:rsid w:val="D3DF03F6"/>
    <w:rsid w:val="D48FB718"/>
    <w:rsid w:val="D4B7B596"/>
    <w:rsid w:val="D5AADB9C"/>
    <w:rsid w:val="D5D878BE"/>
    <w:rsid w:val="D5F71EE0"/>
    <w:rsid w:val="D5FB7FF4"/>
    <w:rsid w:val="D6793646"/>
    <w:rsid w:val="D6BF4F1F"/>
    <w:rsid w:val="D75DD37F"/>
    <w:rsid w:val="D76FD3C9"/>
    <w:rsid w:val="D77AD1C6"/>
    <w:rsid w:val="D797D171"/>
    <w:rsid w:val="D7DB22BB"/>
    <w:rsid w:val="D7FD1868"/>
    <w:rsid w:val="D7FD9D1C"/>
    <w:rsid w:val="D87EB916"/>
    <w:rsid w:val="D8BFF6E6"/>
    <w:rsid w:val="D8DEB8CA"/>
    <w:rsid w:val="D968E193"/>
    <w:rsid w:val="D9781EC2"/>
    <w:rsid w:val="D9B700C5"/>
    <w:rsid w:val="D9B7239E"/>
    <w:rsid w:val="D9BBF660"/>
    <w:rsid w:val="DB9F7331"/>
    <w:rsid w:val="DBA33147"/>
    <w:rsid w:val="DBB5FCCB"/>
    <w:rsid w:val="DBBF4CFF"/>
    <w:rsid w:val="DBBF9BB5"/>
    <w:rsid w:val="DBCF7449"/>
    <w:rsid w:val="DBD9F5B6"/>
    <w:rsid w:val="DBF124CA"/>
    <w:rsid w:val="DBF557D0"/>
    <w:rsid w:val="DBF5F7B9"/>
    <w:rsid w:val="DBF749D1"/>
    <w:rsid w:val="DBFB846E"/>
    <w:rsid w:val="DBFD01B8"/>
    <w:rsid w:val="DD6F9144"/>
    <w:rsid w:val="DDBB2B81"/>
    <w:rsid w:val="DDF592C7"/>
    <w:rsid w:val="DDFB2F53"/>
    <w:rsid w:val="DDFDC84A"/>
    <w:rsid w:val="DE7C0EAC"/>
    <w:rsid w:val="DEBB96DE"/>
    <w:rsid w:val="DEF3776B"/>
    <w:rsid w:val="DEF3AF1F"/>
    <w:rsid w:val="DEF7D67B"/>
    <w:rsid w:val="DEFC6139"/>
    <w:rsid w:val="DF6DF452"/>
    <w:rsid w:val="DF6EE6DE"/>
    <w:rsid w:val="DF7A34D7"/>
    <w:rsid w:val="DF7C6EA9"/>
    <w:rsid w:val="DF8FEA31"/>
    <w:rsid w:val="DFBBE703"/>
    <w:rsid w:val="DFBD0B5B"/>
    <w:rsid w:val="DFBF5307"/>
    <w:rsid w:val="DFBFAFEF"/>
    <w:rsid w:val="DFBFBEC0"/>
    <w:rsid w:val="DFC7276D"/>
    <w:rsid w:val="DFD70790"/>
    <w:rsid w:val="DFDA5E16"/>
    <w:rsid w:val="DFDCC6D9"/>
    <w:rsid w:val="DFDD0B3D"/>
    <w:rsid w:val="DFDD139E"/>
    <w:rsid w:val="DFDE1435"/>
    <w:rsid w:val="DFDF38C7"/>
    <w:rsid w:val="DFDFDB9A"/>
    <w:rsid w:val="DFE7204C"/>
    <w:rsid w:val="DFED1131"/>
    <w:rsid w:val="DFF7C4F6"/>
    <w:rsid w:val="DFFE060E"/>
    <w:rsid w:val="DFFE35E8"/>
    <w:rsid w:val="DFFEC556"/>
    <w:rsid w:val="DFFFC439"/>
    <w:rsid w:val="DFFFE133"/>
    <w:rsid w:val="E17F6950"/>
    <w:rsid w:val="E1AF87C4"/>
    <w:rsid w:val="E2BF3595"/>
    <w:rsid w:val="E3434003"/>
    <w:rsid w:val="E3EBF49D"/>
    <w:rsid w:val="E41B4737"/>
    <w:rsid w:val="E53C5EBF"/>
    <w:rsid w:val="E5FDBB24"/>
    <w:rsid w:val="E5FEE32E"/>
    <w:rsid w:val="E63FB51E"/>
    <w:rsid w:val="E7BEEF0C"/>
    <w:rsid w:val="E7BFBEEF"/>
    <w:rsid w:val="E7F592E6"/>
    <w:rsid w:val="E7F74EFC"/>
    <w:rsid w:val="E7FF1827"/>
    <w:rsid w:val="E7FFCDC0"/>
    <w:rsid w:val="E8268B50"/>
    <w:rsid w:val="EA781D1D"/>
    <w:rsid w:val="EAAFBAC8"/>
    <w:rsid w:val="EAB4FEED"/>
    <w:rsid w:val="EAEFA114"/>
    <w:rsid w:val="EB75ACBF"/>
    <w:rsid w:val="EBF79BCF"/>
    <w:rsid w:val="EBFB636B"/>
    <w:rsid w:val="EBFBA2A9"/>
    <w:rsid w:val="EBFE5B08"/>
    <w:rsid w:val="EC3FC363"/>
    <w:rsid w:val="ECDFD184"/>
    <w:rsid w:val="ED467ADB"/>
    <w:rsid w:val="ED6B6CEB"/>
    <w:rsid w:val="ED91FCAB"/>
    <w:rsid w:val="EDCD17C6"/>
    <w:rsid w:val="EDCF5AE8"/>
    <w:rsid w:val="EE3A50C4"/>
    <w:rsid w:val="EE5A0893"/>
    <w:rsid w:val="EECB2860"/>
    <w:rsid w:val="EECEBD4F"/>
    <w:rsid w:val="EEF6F53A"/>
    <w:rsid w:val="EEFEED11"/>
    <w:rsid w:val="EF364102"/>
    <w:rsid w:val="EF3F7B2E"/>
    <w:rsid w:val="EF55ACDB"/>
    <w:rsid w:val="EF5EF7E4"/>
    <w:rsid w:val="EF7144EA"/>
    <w:rsid w:val="EF79302C"/>
    <w:rsid w:val="EF7F8E45"/>
    <w:rsid w:val="EF9D4B35"/>
    <w:rsid w:val="EFB7C19D"/>
    <w:rsid w:val="EFBA62A5"/>
    <w:rsid w:val="EFBF8B69"/>
    <w:rsid w:val="EFC71B3D"/>
    <w:rsid w:val="EFDDC95F"/>
    <w:rsid w:val="EFDE0398"/>
    <w:rsid w:val="EFE0D957"/>
    <w:rsid w:val="EFE7916A"/>
    <w:rsid w:val="EFEB8D8F"/>
    <w:rsid w:val="EFF64E03"/>
    <w:rsid w:val="EFF70232"/>
    <w:rsid w:val="EFF74B52"/>
    <w:rsid w:val="EFF79737"/>
    <w:rsid w:val="EFF7B1D3"/>
    <w:rsid w:val="EFFCA6AD"/>
    <w:rsid w:val="EFFD89FB"/>
    <w:rsid w:val="EFFDC07F"/>
    <w:rsid w:val="F0FA035D"/>
    <w:rsid w:val="F1F67280"/>
    <w:rsid w:val="F20FD4D7"/>
    <w:rsid w:val="F27EAEFB"/>
    <w:rsid w:val="F35723CD"/>
    <w:rsid w:val="F375B084"/>
    <w:rsid w:val="F37F37B1"/>
    <w:rsid w:val="F3BB1053"/>
    <w:rsid w:val="F3CFD5CB"/>
    <w:rsid w:val="F3F708CD"/>
    <w:rsid w:val="F3FB405F"/>
    <w:rsid w:val="F3FBC933"/>
    <w:rsid w:val="F4BA76AB"/>
    <w:rsid w:val="F4ED141B"/>
    <w:rsid w:val="F4F7AAA5"/>
    <w:rsid w:val="F51F1D4B"/>
    <w:rsid w:val="F52D1406"/>
    <w:rsid w:val="F576DC2C"/>
    <w:rsid w:val="F5C7F6ED"/>
    <w:rsid w:val="F5DBCECB"/>
    <w:rsid w:val="F5ECA317"/>
    <w:rsid w:val="F5EEF5E6"/>
    <w:rsid w:val="F5FA0F3D"/>
    <w:rsid w:val="F5FF2E9D"/>
    <w:rsid w:val="F64E0E42"/>
    <w:rsid w:val="F6AF2AE9"/>
    <w:rsid w:val="F6AFDC84"/>
    <w:rsid w:val="F6DFB5DF"/>
    <w:rsid w:val="F6DFC24F"/>
    <w:rsid w:val="F6F7D252"/>
    <w:rsid w:val="F6FEBE24"/>
    <w:rsid w:val="F73E9FE8"/>
    <w:rsid w:val="F74BD444"/>
    <w:rsid w:val="F753C062"/>
    <w:rsid w:val="F76B435C"/>
    <w:rsid w:val="F76F557C"/>
    <w:rsid w:val="F77BB753"/>
    <w:rsid w:val="F77F8EAE"/>
    <w:rsid w:val="F77FB9EA"/>
    <w:rsid w:val="F79F88A0"/>
    <w:rsid w:val="F7A7C9B7"/>
    <w:rsid w:val="F7B5FFB0"/>
    <w:rsid w:val="F7CB6357"/>
    <w:rsid w:val="F7DF4427"/>
    <w:rsid w:val="F7E76973"/>
    <w:rsid w:val="F7EBC9E9"/>
    <w:rsid w:val="F7EFAA09"/>
    <w:rsid w:val="F7FA26FB"/>
    <w:rsid w:val="F7FE4B5C"/>
    <w:rsid w:val="F7FEB9CE"/>
    <w:rsid w:val="F7FED4A4"/>
    <w:rsid w:val="F7FF3E35"/>
    <w:rsid w:val="F7FF5524"/>
    <w:rsid w:val="F7FF89CB"/>
    <w:rsid w:val="F7FFC6CB"/>
    <w:rsid w:val="F87DFCE7"/>
    <w:rsid w:val="F8DEFF3F"/>
    <w:rsid w:val="F977B0A8"/>
    <w:rsid w:val="F97D8D7E"/>
    <w:rsid w:val="F9F73223"/>
    <w:rsid w:val="F9FED7CD"/>
    <w:rsid w:val="FA7F37DD"/>
    <w:rsid w:val="FA9D9D75"/>
    <w:rsid w:val="FADC348E"/>
    <w:rsid w:val="FAEF27C4"/>
    <w:rsid w:val="FAFA5367"/>
    <w:rsid w:val="FAFFE9D9"/>
    <w:rsid w:val="FB1B411A"/>
    <w:rsid w:val="FB1D1455"/>
    <w:rsid w:val="FB1F3EEF"/>
    <w:rsid w:val="FB35EA29"/>
    <w:rsid w:val="FB57D74D"/>
    <w:rsid w:val="FB77BF3D"/>
    <w:rsid w:val="FB7BA53A"/>
    <w:rsid w:val="FB9ACE64"/>
    <w:rsid w:val="FBBE3AEE"/>
    <w:rsid w:val="FBBEAE9D"/>
    <w:rsid w:val="FBBF3262"/>
    <w:rsid w:val="FBCD35A6"/>
    <w:rsid w:val="FBD3CCA9"/>
    <w:rsid w:val="FBD933F9"/>
    <w:rsid w:val="FBDE7431"/>
    <w:rsid w:val="FBDF3903"/>
    <w:rsid w:val="FBDFEAFC"/>
    <w:rsid w:val="FBE0E7D6"/>
    <w:rsid w:val="FBEA91EA"/>
    <w:rsid w:val="FBEBA298"/>
    <w:rsid w:val="FBED4F61"/>
    <w:rsid w:val="FBEF41E5"/>
    <w:rsid w:val="FBEF71BD"/>
    <w:rsid w:val="FBF7C979"/>
    <w:rsid w:val="FBFAAB00"/>
    <w:rsid w:val="FBFD7F0F"/>
    <w:rsid w:val="FBFDFCBE"/>
    <w:rsid w:val="FBFE6067"/>
    <w:rsid w:val="FC6FCED6"/>
    <w:rsid w:val="FC7F1E61"/>
    <w:rsid w:val="FCAF85C1"/>
    <w:rsid w:val="FCDD06C7"/>
    <w:rsid w:val="FCDDED6B"/>
    <w:rsid w:val="FCE8D88A"/>
    <w:rsid w:val="FCEF5F4E"/>
    <w:rsid w:val="FCFF4FC9"/>
    <w:rsid w:val="FCFFFB3C"/>
    <w:rsid w:val="FD0FBB22"/>
    <w:rsid w:val="FD1D9464"/>
    <w:rsid w:val="FD1F6DA1"/>
    <w:rsid w:val="FD3700DD"/>
    <w:rsid w:val="FD5FEBB5"/>
    <w:rsid w:val="FD797C74"/>
    <w:rsid w:val="FD9E9DFB"/>
    <w:rsid w:val="FDAA93B6"/>
    <w:rsid w:val="FDAC8DDF"/>
    <w:rsid w:val="FDB71609"/>
    <w:rsid w:val="FDBB05D6"/>
    <w:rsid w:val="FDD7B963"/>
    <w:rsid w:val="FDD92DF9"/>
    <w:rsid w:val="FDDA36F0"/>
    <w:rsid w:val="FDDF0751"/>
    <w:rsid w:val="FDE9883C"/>
    <w:rsid w:val="FDEBEF7B"/>
    <w:rsid w:val="FDEF8857"/>
    <w:rsid w:val="FDF03659"/>
    <w:rsid w:val="FDF4568F"/>
    <w:rsid w:val="FDFACE61"/>
    <w:rsid w:val="FDFB4E26"/>
    <w:rsid w:val="FDFB9A1D"/>
    <w:rsid w:val="FDFD65FA"/>
    <w:rsid w:val="FDFDAE50"/>
    <w:rsid w:val="FDFEFDB3"/>
    <w:rsid w:val="FDFF92E3"/>
    <w:rsid w:val="FDFFCB44"/>
    <w:rsid w:val="FE0F06AC"/>
    <w:rsid w:val="FE38DF5C"/>
    <w:rsid w:val="FE3F8AAE"/>
    <w:rsid w:val="FE3FF7F2"/>
    <w:rsid w:val="FE6B15BD"/>
    <w:rsid w:val="FE6F90F5"/>
    <w:rsid w:val="FE7A68E4"/>
    <w:rsid w:val="FE7E4949"/>
    <w:rsid w:val="FE9F2435"/>
    <w:rsid w:val="FEB7FAD0"/>
    <w:rsid w:val="FEBCEEBD"/>
    <w:rsid w:val="FED8863D"/>
    <w:rsid w:val="FEDB61FC"/>
    <w:rsid w:val="FEDE4A75"/>
    <w:rsid w:val="FEDF921A"/>
    <w:rsid w:val="FEEB267A"/>
    <w:rsid w:val="FEECABB0"/>
    <w:rsid w:val="FEF19B09"/>
    <w:rsid w:val="FEF771A8"/>
    <w:rsid w:val="FEFF2407"/>
    <w:rsid w:val="FEFFE5B7"/>
    <w:rsid w:val="FF1B2493"/>
    <w:rsid w:val="FF1E2352"/>
    <w:rsid w:val="FF25A685"/>
    <w:rsid w:val="FF2F0CE4"/>
    <w:rsid w:val="FF3A6C5A"/>
    <w:rsid w:val="FF3F1871"/>
    <w:rsid w:val="FF3F65F4"/>
    <w:rsid w:val="FF3F8C95"/>
    <w:rsid w:val="FF3F98D4"/>
    <w:rsid w:val="FF3FA775"/>
    <w:rsid w:val="FF4BA6D4"/>
    <w:rsid w:val="FF6FA04F"/>
    <w:rsid w:val="FF74CC09"/>
    <w:rsid w:val="FF74FA6C"/>
    <w:rsid w:val="FF77A616"/>
    <w:rsid w:val="FF7B2E6E"/>
    <w:rsid w:val="FF7B3F55"/>
    <w:rsid w:val="FF7B4A92"/>
    <w:rsid w:val="FF7F4C45"/>
    <w:rsid w:val="FF8D0350"/>
    <w:rsid w:val="FF8ECF93"/>
    <w:rsid w:val="FF9F7DF0"/>
    <w:rsid w:val="FFAE2281"/>
    <w:rsid w:val="FFB37479"/>
    <w:rsid w:val="FFB3A39D"/>
    <w:rsid w:val="FFB4575D"/>
    <w:rsid w:val="FFB57F70"/>
    <w:rsid w:val="FFB68D89"/>
    <w:rsid w:val="FFB75BF6"/>
    <w:rsid w:val="FFBB5A32"/>
    <w:rsid w:val="FFBC4D9F"/>
    <w:rsid w:val="FFBD2A71"/>
    <w:rsid w:val="FFBDB28F"/>
    <w:rsid w:val="FFBE5307"/>
    <w:rsid w:val="FFBF0120"/>
    <w:rsid w:val="FFBF2460"/>
    <w:rsid w:val="FFBF5608"/>
    <w:rsid w:val="FFCDD72B"/>
    <w:rsid w:val="FFCF0F36"/>
    <w:rsid w:val="FFD2661C"/>
    <w:rsid w:val="FFD7D4B2"/>
    <w:rsid w:val="FFDD07A9"/>
    <w:rsid w:val="FFDEAB90"/>
    <w:rsid w:val="FFDF22DC"/>
    <w:rsid w:val="FFDF5CEC"/>
    <w:rsid w:val="FFDF66E5"/>
    <w:rsid w:val="FFDFD6D6"/>
    <w:rsid w:val="FFDFF2E9"/>
    <w:rsid w:val="FFE557D3"/>
    <w:rsid w:val="FFEB0DDE"/>
    <w:rsid w:val="FFEC1252"/>
    <w:rsid w:val="FFEE7539"/>
    <w:rsid w:val="FFEEA65E"/>
    <w:rsid w:val="FFEF0617"/>
    <w:rsid w:val="FFEF1E9B"/>
    <w:rsid w:val="FFEFE16C"/>
    <w:rsid w:val="FFF54AD0"/>
    <w:rsid w:val="FFF6BC8C"/>
    <w:rsid w:val="FFF70AFF"/>
    <w:rsid w:val="FFF7674F"/>
    <w:rsid w:val="FFF7A45E"/>
    <w:rsid w:val="FFF7A7AE"/>
    <w:rsid w:val="FFF7A90A"/>
    <w:rsid w:val="FFF7C461"/>
    <w:rsid w:val="FFF96F4F"/>
    <w:rsid w:val="FFF97A63"/>
    <w:rsid w:val="FFFA7348"/>
    <w:rsid w:val="FFFB37A8"/>
    <w:rsid w:val="FFFB6C7B"/>
    <w:rsid w:val="FFFB6F64"/>
    <w:rsid w:val="FFFB9104"/>
    <w:rsid w:val="FFFBDD4C"/>
    <w:rsid w:val="FFFBFACE"/>
    <w:rsid w:val="FFFD1B8B"/>
    <w:rsid w:val="FFFD8BA9"/>
    <w:rsid w:val="FFFDCF0F"/>
    <w:rsid w:val="FFFE6181"/>
    <w:rsid w:val="FFFE781F"/>
    <w:rsid w:val="FFFE7CB6"/>
    <w:rsid w:val="FFFEF600"/>
    <w:rsid w:val="FFFF048C"/>
    <w:rsid w:val="FFFF42F4"/>
    <w:rsid w:val="FFFF4E35"/>
    <w:rsid w:val="FFFF8E4B"/>
    <w:rsid w:val="FFFFB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3658</Words>
  <Characters>3693</Characters>
  <Lines>0</Lines>
  <Paragraphs>0</Paragraphs>
  <TotalTime>0</TotalTime>
  <ScaleCrop>false</ScaleCrop>
  <LinksUpToDate>false</LinksUpToDate>
  <CharactersWithSpaces>3703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2014-11-21T12:08:00Z</dcterms:created>
  <dc:creator>Administrator</dc:creator>
  <cp:lastModifiedBy>huanghe</cp:lastModifiedBy>
  <cp:lastPrinted>2026-01-24T00:53:00Z</cp:lastPrinted>
  <dcterms:modified xsi:type="dcterms:W3CDTF">2026-02-04T11:00:13Z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eyJoZGlkIjoiMWU3MjZmMTg5NzFiZWJmOGM2ZWM5YjkzNTlmYmE4MDciLCJ1c2VySWQiOiIzNjk0ODEyNzEifQ==</vt:lpwstr>
  </property>
  <property fmtid="{D5CDD505-2E9C-101B-9397-08002B2CF9AE}" pid="4" name="ICV">
    <vt:lpwstr>73ED2A6151B4434D85522E74984EA883_13</vt:lpwstr>
  </property>
</Properties>
</file>