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E852">
      <w:pPr>
        <w:pStyle w:val="4"/>
        <w:spacing w:line="460" w:lineRule="exact"/>
        <w:jc w:val="center"/>
        <w:rPr>
          <w:rFonts w:hAnsi="宋体" w:cs="Times New Roman"/>
          <w:b/>
          <w:sz w:val="30"/>
        </w:rPr>
      </w:pPr>
    </w:p>
    <w:p w14:paraId="56F87C43">
      <w:pPr>
        <w:pStyle w:val="4"/>
        <w:spacing w:line="460" w:lineRule="exact"/>
        <w:jc w:val="center"/>
        <w:rPr>
          <w:rFonts w:hAnsi="宋体" w:cs="Times New Roman"/>
          <w:b/>
          <w:sz w:val="30"/>
        </w:rPr>
      </w:pPr>
    </w:p>
    <w:p w14:paraId="15C3F474">
      <w:pPr>
        <w:pStyle w:val="4"/>
        <w:spacing w:line="460" w:lineRule="exact"/>
        <w:jc w:val="center"/>
        <w:rPr>
          <w:rFonts w:hAnsi="宋体" w:cs="Times New Roman"/>
          <w:b/>
          <w:sz w:val="30"/>
        </w:rPr>
      </w:pPr>
    </w:p>
    <w:p w14:paraId="1985BF04">
      <w:pPr>
        <w:pStyle w:val="4"/>
        <w:spacing w:line="460" w:lineRule="exact"/>
        <w:jc w:val="center"/>
        <w:rPr>
          <w:rFonts w:hAnsi="宋体" w:cs="Times New Roman"/>
          <w:b/>
          <w:sz w:val="30"/>
        </w:rPr>
      </w:pPr>
    </w:p>
    <w:p w14:paraId="3AFDAAC2">
      <w:pPr>
        <w:pStyle w:val="4"/>
        <w:spacing w:line="460" w:lineRule="exact"/>
        <w:jc w:val="center"/>
        <w:rPr>
          <w:rFonts w:hAnsi="宋体" w:cs="Times New Roman"/>
          <w:b/>
          <w:sz w:val="30"/>
        </w:rPr>
      </w:pPr>
    </w:p>
    <w:p w14:paraId="308CB80F">
      <w:pPr>
        <w:pStyle w:val="4"/>
        <w:spacing w:line="460" w:lineRule="exact"/>
        <w:jc w:val="center"/>
        <w:rPr>
          <w:rFonts w:hAnsi="宋体" w:cs="Times New Roman"/>
          <w:b/>
          <w:sz w:val="30"/>
        </w:rPr>
      </w:pPr>
    </w:p>
    <w:p w14:paraId="217DDA4A">
      <w:pPr>
        <w:pStyle w:val="4"/>
        <w:jc w:val="center"/>
        <w:rPr>
          <w:rFonts w:hAnsi="宋体" w:cs="Times New Roman"/>
          <w:b/>
          <w:sz w:val="44"/>
          <w:szCs w:val="44"/>
        </w:rPr>
      </w:pPr>
      <w:r>
        <w:rPr>
          <w:rFonts w:hint="eastAsia" w:hAnsi="宋体" w:cs="Times New Roman"/>
          <w:b/>
          <w:sz w:val="44"/>
          <w:szCs w:val="44"/>
        </w:rPr>
        <w:t>《</w:t>
      </w:r>
      <w:r>
        <w:rPr>
          <w:rFonts w:hint="eastAsia" w:hAnsi="宋体" w:cs="Times New Roman"/>
          <w:b/>
          <w:sz w:val="44"/>
          <w:szCs w:val="44"/>
          <w:lang w:val="en-US" w:eastAsia="zh-CN"/>
        </w:rPr>
        <w:t>比色法食品安全快速检测仪校准规范</w:t>
      </w:r>
      <w:r>
        <w:rPr>
          <w:rFonts w:hint="eastAsia" w:hAnsi="宋体" w:cs="Times New Roman"/>
          <w:b/>
          <w:sz w:val="44"/>
          <w:szCs w:val="44"/>
        </w:rPr>
        <w:t>》</w:t>
      </w:r>
    </w:p>
    <w:p w14:paraId="742BFD41">
      <w:pPr>
        <w:pStyle w:val="4"/>
        <w:jc w:val="center"/>
        <w:rPr>
          <w:rFonts w:hAnsi="宋体" w:cs="Times New Roman"/>
          <w:b/>
          <w:sz w:val="44"/>
          <w:szCs w:val="44"/>
        </w:rPr>
      </w:pPr>
      <w:r>
        <w:rPr>
          <w:rFonts w:hint="eastAsia" w:hAnsi="宋体" w:cs="Times New Roman"/>
          <w:b/>
          <w:sz w:val="44"/>
          <w:szCs w:val="44"/>
        </w:rPr>
        <w:t>编制说明</w:t>
      </w:r>
    </w:p>
    <w:p w14:paraId="569FA58A">
      <w:pPr>
        <w:pStyle w:val="4"/>
        <w:spacing w:line="460" w:lineRule="exact"/>
        <w:jc w:val="center"/>
        <w:rPr>
          <w:rFonts w:hAnsi="宋体" w:cs="Times New Roman"/>
          <w:b/>
          <w:sz w:val="30"/>
        </w:rPr>
      </w:pPr>
    </w:p>
    <w:p w14:paraId="459E93F2">
      <w:pPr>
        <w:pStyle w:val="4"/>
        <w:spacing w:line="460" w:lineRule="exact"/>
        <w:jc w:val="center"/>
        <w:rPr>
          <w:rFonts w:hAnsi="宋体" w:cs="Times New Roman"/>
          <w:b/>
          <w:sz w:val="30"/>
        </w:rPr>
      </w:pPr>
    </w:p>
    <w:p w14:paraId="6F9E8B92">
      <w:pPr>
        <w:pStyle w:val="4"/>
        <w:spacing w:line="460" w:lineRule="exact"/>
        <w:jc w:val="center"/>
        <w:rPr>
          <w:rFonts w:hAnsi="宋体" w:cs="Times New Roman"/>
          <w:b/>
          <w:sz w:val="30"/>
        </w:rPr>
      </w:pPr>
    </w:p>
    <w:p w14:paraId="305D4605">
      <w:pPr>
        <w:pStyle w:val="4"/>
        <w:spacing w:line="460" w:lineRule="exact"/>
        <w:jc w:val="center"/>
        <w:rPr>
          <w:rFonts w:hAnsi="宋体" w:cs="Times New Roman"/>
          <w:b/>
          <w:sz w:val="30"/>
        </w:rPr>
      </w:pPr>
    </w:p>
    <w:p w14:paraId="0553E98A">
      <w:pPr>
        <w:pStyle w:val="4"/>
        <w:spacing w:line="460" w:lineRule="exact"/>
        <w:jc w:val="center"/>
        <w:rPr>
          <w:rFonts w:hAnsi="宋体" w:cs="Times New Roman"/>
          <w:b/>
          <w:sz w:val="30"/>
        </w:rPr>
      </w:pPr>
    </w:p>
    <w:p w14:paraId="7F32FDB0">
      <w:pPr>
        <w:pStyle w:val="4"/>
        <w:spacing w:line="460" w:lineRule="exact"/>
        <w:jc w:val="center"/>
        <w:rPr>
          <w:rFonts w:hAnsi="宋体" w:cs="Times New Roman"/>
          <w:b/>
          <w:sz w:val="30"/>
        </w:rPr>
      </w:pPr>
    </w:p>
    <w:p w14:paraId="623B4FBB">
      <w:pPr>
        <w:pStyle w:val="4"/>
        <w:spacing w:line="460" w:lineRule="exact"/>
        <w:jc w:val="center"/>
        <w:rPr>
          <w:rFonts w:hAnsi="宋体" w:cs="Times New Roman"/>
          <w:b/>
          <w:sz w:val="30"/>
        </w:rPr>
      </w:pPr>
    </w:p>
    <w:p w14:paraId="186EB072">
      <w:pPr>
        <w:pStyle w:val="4"/>
        <w:spacing w:line="460" w:lineRule="exact"/>
        <w:jc w:val="center"/>
        <w:rPr>
          <w:rFonts w:hAnsi="宋体" w:cs="Times New Roman"/>
          <w:b/>
          <w:sz w:val="30"/>
        </w:rPr>
      </w:pPr>
    </w:p>
    <w:p w14:paraId="6973D463">
      <w:pPr>
        <w:pStyle w:val="4"/>
        <w:spacing w:line="460" w:lineRule="exact"/>
        <w:jc w:val="center"/>
        <w:rPr>
          <w:rFonts w:hAnsi="宋体" w:cs="Times New Roman"/>
          <w:b/>
          <w:sz w:val="30"/>
        </w:rPr>
      </w:pPr>
    </w:p>
    <w:p w14:paraId="1BA7C50A">
      <w:pPr>
        <w:pStyle w:val="4"/>
        <w:spacing w:line="460" w:lineRule="exact"/>
        <w:jc w:val="center"/>
        <w:rPr>
          <w:rFonts w:hAnsi="宋体" w:cs="Times New Roman"/>
          <w:b/>
          <w:sz w:val="30"/>
        </w:rPr>
      </w:pPr>
    </w:p>
    <w:p w14:paraId="0E3ED9C4">
      <w:pPr>
        <w:pStyle w:val="4"/>
        <w:spacing w:line="460" w:lineRule="exact"/>
        <w:jc w:val="center"/>
        <w:rPr>
          <w:rFonts w:hAnsi="宋体" w:cs="Times New Roman"/>
          <w:b/>
          <w:sz w:val="30"/>
        </w:rPr>
      </w:pPr>
    </w:p>
    <w:p w14:paraId="1C34F279">
      <w:pPr>
        <w:pStyle w:val="4"/>
        <w:spacing w:line="460" w:lineRule="exact"/>
        <w:jc w:val="center"/>
        <w:rPr>
          <w:rFonts w:hAnsi="宋体" w:cs="Times New Roman"/>
          <w:b/>
          <w:sz w:val="30"/>
        </w:rPr>
      </w:pPr>
    </w:p>
    <w:p w14:paraId="3646BD43">
      <w:pPr>
        <w:pStyle w:val="4"/>
        <w:spacing w:line="460" w:lineRule="exact"/>
        <w:jc w:val="center"/>
        <w:rPr>
          <w:rFonts w:hAnsi="宋体" w:cs="Times New Roman"/>
          <w:b/>
          <w:sz w:val="30"/>
        </w:rPr>
      </w:pPr>
    </w:p>
    <w:p w14:paraId="52D77ABF">
      <w:pPr>
        <w:pStyle w:val="4"/>
        <w:spacing w:line="460" w:lineRule="exact"/>
        <w:jc w:val="center"/>
        <w:rPr>
          <w:rFonts w:hAnsi="宋体" w:cs="Times New Roman"/>
          <w:b/>
          <w:sz w:val="30"/>
        </w:rPr>
      </w:pPr>
    </w:p>
    <w:p w14:paraId="2F8CCF33">
      <w:pPr>
        <w:pStyle w:val="4"/>
        <w:spacing w:line="460" w:lineRule="exact"/>
        <w:jc w:val="center"/>
        <w:rPr>
          <w:rFonts w:hAnsi="宋体" w:cs="Times New Roman"/>
          <w:b/>
          <w:sz w:val="30"/>
        </w:rPr>
      </w:pPr>
    </w:p>
    <w:p w14:paraId="47F59AE3">
      <w:pPr>
        <w:pStyle w:val="4"/>
        <w:spacing w:line="460" w:lineRule="exact"/>
        <w:jc w:val="center"/>
        <w:rPr>
          <w:rFonts w:hAnsi="宋体" w:cs="Times New Roman"/>
          <w:b/>
          <w:sz w:val="30"/>
        </w:rPr>
      </w:pPr>
    </w:p>
    <w:p w14:paraId="3443DB9E">
      <w:pPr>
        <w:jc w:val="center"/>
        <w:rPr>
          <w:rFonts w:ascii="宋体"/>
          <w:bCs/>
          <w:sz w:val="32"/>
          <w:szCs w:val="32"/>
        </w:rPr>
      </w:pPr>
      <w:r>
        <w:rPr>
          <w:rFonts w:hint="eastAsia" w:ascii="宋体" w:hAnsi="宋体"/>
          <w:bCs/>
          <w:sz w:val="32"/>
          <w:szCs w:val="32"/>
        </w:rPr>
        <w:t>规程起草小组</w:t>
      </w:r>
    </w:p>
    <w:p w14:paraId="2A4D1E7B">
      <w:pPr>
        <w:pStyle w:val="4"/>
        <w:spacing w:line="460" w:lineRule="exact"/>
        <w:jc w:val="center"/>
        <w:rPr>
          <w:rFonts w:hAnsi="宋体" w:cs="Times New Roman"/>
          <w:bCs/>
          <w:sz w:val="32"/>
          <w:szCs w:val="32"/>
        </w:rPr>
      </w:pPr>
      <w:r>
        <w:rPr>
          <w:rFonts w:hAnsi="宋体" w:cs="Times New Roman"/>
          <w:bCs/>
          <w:sz w:val="32"/>
          <w:szCs w:val="32"/>
        </w:rPr>
        <w:t>202</w:t>
      </w:r>
      <w:r>
        <w:rPr>
          <w:rFonts w:hint="eastAsia" w:hAnsi="宋体" w:cs="Times New Roman"/>
          <w:bCs/>
          <w:sz w:val="32"/>
          <w:szCs w:val="32"/>
          <w:lang w:val="en-US" w:eastAsia="zh-CN"/>
        </w:rPr>
        <w:t>5</w:t>
      </w:r>
      <w:r>
        <w:rPr>
          <w:rFonts w:hint="eastAsia" w:hAnsi="宋体" w:cs="Times New Roman"/>
          <w:bCs/>
          <w:sz w:val="32"/>
          <w:szCs w:val="32"/>
        </w:rPr>
        <w:t>年</w:t>
      </w:r>
      <w:r>
        <w:rPr>
          <w:rFonts w:hint="eastAsia" w:hAnsi="宋体" w:cs="Times New Roman"/>
          <w:bCs/>
          <w:sz w:val="32"/>
          <w:szCs w:val="32"/>
          <w:lang w:val="en-US" w:eastAsia="zh-CN"/>
        </w:rPr>
        <w:t>07</w:t>
      </w:r>
      <w:r>
        <w:rPr>
          <w:rFonts w:hint="eastAsia" w:hAnsi="宋体" w:cs="Times New Roman"/>
          <w:bCs/>
          <w:sz w:val="32"/>
          <w:szCs w:val="32"/>
        </w:rPr>
        <w:t>月</w:t>
      </w:r>
    </w:p>
    <w:p w14:paraId="6B97259B">
      <w:pPr>
        <w:rPr>
          <w:b/>
          <w:bCs/>
          <w:sz w:val="36"/>
        </w:rPr>
      </w:pPr>
    </w:p>
    <w:p w14:paraId="208A8BBE">
      <w:pPr>
        <w:jc w:val="center"/>
        <w:rPr>
          <w:b/>
          <w:bCs/>
          <w:sz w:val="36"/>
        </w:rPr>
      </w:pPr>
    </w:p>
    <w:p w14:paraId="7E1FC92B">
      <w:pPr>
        <w:jc w:val="center"/>
        <w:rPr>
          <w:b/>
          <w:bCs/>
          <w:sz w:val="32"/>
          <w:szCs w:val="32"/>
        </w:rPr>
      </w:pPr>
      <w:r>
        <w:rPr>
          <w:rFonts w:hint="eastAsia"/>
          <w:b/>
          <w:bCs/>
          <w:sz w:val="32"/>
          <w:szCs w:val="32"/>
        </w:rPr>
        <w:t>《比色法食品安全快速检测仪校准规范》</w:t>
      </w:r>
    </w:p>
    <w:p w14:paraId="24756BF6">
      <w:pPr>
        <w:jc w:val="center"/>
        <w:rPr>
          <w:b/>
          <w:bCs/>
          <w:sz w:val="32"/>
          <w:szCs w:val="32"/>
        </w:rPr>
      </w:pPr>
      <w:r>
        <w:rPr>
          <w:rFonts w:hint="eastAsia"/>
          <w:b/>
          <w:bCs/>
          <w:sz w:val="32"/>
          <w:szCs w:val="32"/>
        </w:rPr>
        <w:t>编制说明</w:t>
      </w:r>
    </w:p>
    <w:p w14:paraId="47BB813A">
      <w:pPr>
        <w:spacing w:line="360" w:lineRule="auto"/>
        <w:ind w:firstLine="562" w:firstLineChars="200"/>
        <w:rPr>
          <w:b/>
          <w:bCs/>
          <w:sz w:val="28"/>
          <w:szCs w:val="28"/>
        </w:rPr>
      </w:pPr>
      <w:r>
        <w:rPr>
          <w:rFonts w:hint="eastAsia"/>
          <w:b/>
          <w:bCs/>
          <w:sz w:val="28"/>
          <w:szCs w:val="28"/>
        </w:rPr>
        <w:t>一、任务来源</w:t>
      </w:r>
    </w:p>
    <w:p w14:paraId="394D2A46">
      <w:pPr>
        <w:spacing w:line="360" w:lineRule="auto"/>
        <w:ind w:firstLine="480" w:firstLineChars="200"/>
        <w:rPr>
          <w:sz w:val="24"/>
        </w:rPr>
      </w:pPr>
      <w:r>
        <w:rPr>
          <w:rFonts w:hint="eastAsia"/>
          <w:sz w:val="24"/>
        </w:rPr>
        <w:t>河南省市场监督管理局《关于印发202</w:t>
      </w:r>
      <w:r>
        <w:rPr>
          <w:rFonts w:hint="eastAsia"/>
          <w:sz w:val="24"/>
          <w:lang w:val="en-US" w:eastAsia="zh-CN"/>
        </w:rPr>
        <w:t>5</w:t>
      </w:r>
      <w:r>
        <w:rPr>
          <w:rFonts w:hint="eastAsia"/>
          <w:sz w:val="24"/>
        </w:rPr>
        <w:t>年度河南省地方计量技术</w:t>
      </w:r>
      <w:r>
        <w:rPr>
          <w:rFonts w:hint="eastAsia"/>
          <w:sz w:val="24"/>
          <w:lang w:val="en-US" w:eastAsia="zh-CN"/>
        </w:rPr>
        <w:t>规范</w:t>
      </w:r>
      <w:r>
        <w:rPr>
          <w:rFonts w:hint="eastAsia"/>
          <w:sz w:val="24"/>
        </w:rPr>
        <w:t>制修订计划项目的通知》（豫市监办【202</w:t>
      </w:r>
      <w:r>
        <w:rPr>
          <w:rFonts w:hint="eastAsia"/>
          <w:sz w:val="24"/>
          <w:lang w:val="en-US" w:eastAsia="zh-CN"/>
        </w:rPr>
        <w:t>5</w:t>
      </w:r>
      <w:r>
        <w:rPr>
          <w:rFonts w:hint="eastAsia"/>
          <w:sz w:val="24"/>
        </w:rPr>
        <w:t>】</w:t>
      </w:r>
      <w:r>
        <w:rPr>
          <w:rFonts w:hint="eastAsia"/>
          <w:sz w:val="24"/>
          <w:lang w:val="en-US" w:eastAsia="zh-CN"/>
        </w:rPr>
        <w:t>64</w:t>
      </w:r>
      <w:r>
        <w:rPr>
          <w:rFonts w:hint="eastAsia"/>
          <w:sz w:val="24"/>
        </w:rPr>
        <w:t>号），由</w:t>
      </w:r>
      <w:r>
        <w:rPr>
          <w:rFonts w:hint="eastAsia" w:asciiTheme="minorEastAsia" w:hAnsiTheme="minorEastAsia" w:eastAsiaTheme="minorEastAsia" w:cstheme="minorEastAsia"/>
          <w:color w:val="000000" w:themeColor="text1"/>
          <w:sz w:val="24"/>
          <w:szCs w:val="24"/>
          <w:lang w:val="en-US" w:eastAsia="zh-CN"/>
        </w:rPr>
        <w:t>河南省平台经济发展指导中心</w:t>
      </w:r>
      <w:r>
        <w:rPr>
          <w:rFonts w:hint="eastAsia"/>
          <w:sz w:val="24"/>
        </w:rPr>
        <w:t>承担“比色法食品安全快速检测仪校准规范”的修订工作。规</w:t>
      </w:r>
      <w:r>
        <w:rPr>
          <w:rFonts w:hint="eastAsia"/>
          <w:sz w:val="24"/>
          <w:lang w:val="en-US" w:eastAsia="zh-CN"/>
        </w:rPr>
        <w:t>范修订</w:t>
      </w:r>
      <w:r>
        <w:rPr>
          <w:rFonts w:hint="eastAsia"/>
          <w:sz w:val="24"/>
        </w:rPr>
        <w:t>工作从20</w:t>
      </w:r>
      <w:r>
        <w:rPr>
          <w:sz w:val="24"/>
        </w:rPr>
        <w:t>2</w:t>
      </w:r>
      <w:r>
        <w:rPr>
          <w:rFonts w:hint="eastAsia"/>
          <w:sz w:val="24"/>
          <w:lang w:val="en-US" w:eastAsia="zh-CN"/>
        </w:rPr>
        <w:t>5</w:t>
      </w:r>
      <w:r>
        <w:rPr>
          <w:rFonts w:hint="eastAsia"/>
          <w:sz w:val="24"/>
        </w:rPr>
        <w:t>年</w:t>
      </w:r>
      <w:r>
        <w:rPr>
          <w:rFonts w:hint="eastAsia"/>
          <w:sz w:val="24"/>
          <w:lang w:val="en-US" w:eastAsia="zh-CN"/>
        </w:rPr>
        <w:t>1</w:t>
      </w:r>
      <w:r>
        <w:rPr>
          <w:rFonts w:hint="eastAsia"/>
          <w:sz w:val="24"/>
        </w:rPr>
        <w:t>月开始，20</w:t>
      </w:r>
      <w:r>
        <w:rPr>
          <w:sz w:val="24"/>
        </w:rPr>
        <w:t>2</w:t>
      </w:r>
      <w:r>
        <w:rPr>
          <w:rFonts w:hint="eastAsia"/>
          <w:sz w:val="24"/>
          <w:lang w:val="en-US" w:eastAsia="zh-CN"/>
        </w:rPr>
        <w:t>5</w:t>
      </w:r>
      <w:r>
        <w:rPr>
          <w:rFonts w:hint="eastAsia"/>
          <w:sz w:val="24"/>
        </w:rPr>
        <w:t>年0</w:t>
      </w:r>
      <w:r>
        <w:rPr>
          <w:rFonts w:hint="eastAsia"/>
          <w:sz w:val="24"/>
          <w:lang w:val="en-US" w:eastAsia="zh-CN"/>
        </w:rPr>
        <w:t>7</w:t>
      </w:r>
      <w:r>
        <w:rPr>
          <w:rFonts w:hint="eastAsia"/>
          <w:sz w:val="24"/>
        </w:rPr>
        <w:t>月完成征求意见稿。</w:t>
      </w:r>
    </w:p>
    <w:p w14:paraId="7867D9EF">
      <w:pPr>
        <w:spacing w:line="360" w:lineRule="auto"/>
        <w:ind w:firstLine="562" w:firstLineChars="200"/>
        <w:rPr>
          <w:rFonts w:ascii="宋体"/>
          <w:b/>
          <w:bCs/>
          <w:sz w:val="28"/>
          <w:szCs w:val="28"/>
        </w:rPr>
      </w:pPr>
      <w:r>
        <w:rPr>
          <w:rFonts w:hint="eastAsia" w:ascii="宋体" w:hAnsi="宋体"/>
          <w:b/>
          <w:bCs/>
          <w:sz w:val="28"/>
          <w:szCs w:val="28"/>
        </w:rPr>
        <w:t>二、规范制定的背景及必要性</w:t>
      </w:r>
    </w:p>
    <w:p w14:paraId="073B5489">
      <w:pPr>
        <w:spacing w:line="360" w:lineRule="auto"/>
        <w:ind w:firstLine="480" w:firstLineChars="200"/>
        <w:rPr>
          <w:rFonts w:hint="eastAsia"/>
          <w:sz w:val="24"/>
        </w:rPr>
      </w:pPr>
      <w:r>
        <w:rPr>
          <w:rFonts w:hint="eastAsia"/>
          <w:sz w:val="24"/>
        </w:rPr>
        <w:t>比色法食品安全快速检测仪是比色法食品安全快速测量仪器的统称，包括食品甲醛分析仪、农药残留快速检定仪、重金属快速测定仪、过氧化苯甲酰快速测定仪、蛋白质含量快速测定仪等，广泛应用于食品和农产品质量的快速定性定量测定。检测仪的使用方法非常简单，只需要将配置好的样品放入检测仪中，按下检测键，几分钟后就可以得到检测结果。使用比色法食品安全快速测定仪，不仅可以快速检测样品中的有害物质，还可以保证检测结果的准确性和可靠性。检测仪具有体积小、重量轻、易携带等特点，可以随时随地进行检测，方便快捷。</w:t>
      </w:r>
    </w:p>
    <w:p w14:paraId="47AA9C45">
      <w:pPr>
        <w:spacing w:line="360" w:lineRule="auto"/>
        <w:ind w:firstLine="480" w:firstLineChars="200"/>
        <w:rPr>
          <w:rFonts w:hint="eastAsia"/>
          <w:sz w:val="24"/>
        </w:rPr>
      </w:pPr>
      <w:r>
        <w:rPr>
          <w:rFonts w:hint="eastAsia"/>
          <w:sz w:val="24"/>
        </w:rPr>
        <w:t> 随着人们生活水平的提高，对食品安全的要求也越来越高，而食品安全问题也成为人们关注的焦点。近年来，食品安全事件频频发生，给人们的生活带来了巨大的威胁和危害。为了保障人们的饮食安全，该仪器可以对食品中的甲醛、残留农药、重金属、过氧化苯甲酰等有害物质进行检测，为保障人们的饮食安全提供了有力的保障。</w:t>
      </w:r>
    </w:p>
    <w:p w14:paraId="4152E860">
      <w:pPr>
        <w:spacing w:line="360" w:lineRule="auto"/>
        <w:ind w:firstLine="480" w:firstLineChars="200"/>
        <w:rPr>
          <w:rFonts w:hint="eastAsia"/>
          <w:sz w:val="24"/>
          <w:lang w:val="en-US" w:eastAsia="zh-CN"/>
        </w:rPr>
      </w:pPr>
      <w:r>
        <w:rPr>
          <w:rFonts w:hint="eastAsia"/>
          <w:sz w:val="24"/>
        </w:rPr>
        <w:t>目前对于比色法食品安全快速检测仪的</w:t>
      </w:r>
      <w:r>
        <w:rPr>
          <w:rFonts w:hint="eastAsia"/>
          <w:sz w:val="24"/>
          <w:lang w:val="en-US" w:eastAsia="zh-CN"/>
        </w:rPr>
        <w:t>校准</w:t>
      </w:r>
      <w:r>
        <w:rPr>
          <w:rFonts w:hint="eastAsia"/>
          <w:sz w:val="24"/>
        </w:rPr>
        <w:t>，我省已经出台JJF（豫）</w:t>
      </w:r>
      <w:r>
        <w:rPr>
          <w:rFonts w:hint="eastAsia"/>
          <w:sz w:val="24"/>
          <w:lang w:val="en-US" w:eastAsia="zh-CN"/>
        </w:rPr>
        <w:t>180</w:t>
      </w:r>
      <w:r>
        <w:rPr>
          <w:rFonts w:hint="eastAsia"/>
          <w:sz w:val="24"/>
        </w:rPr>
        <w:t>-201</w:t>
      </w:r>
      <w:r>
        <w:rPr>
          <w:rFonts w:hint="eastAsia"/>
          <w:sz w:val="24"/>
          <w:lang w:val="en-US" w:eastAsia="zh-CN"/>
        </w:rPr>
        <w:t>4</w:t>
      </w:r>
      <w:r>
        <w:rPr>
          <w:rFonts w:hint="eastAsia"/>
          <w:sz w:val="24"/>
        </w:rPr>
        <w:t>《比色法食品安全快速检测仪校准规范》，但该规范</w:t>
      </w:r>
      <w:r>
        <w:rPr>
          <w:rFonts w:hint="eastAsia"/>
          <w:sz w:val="24"/>
          <w:lang w:val="en-US" w:eastAsia="zh-CN"/>
        </w:rPr>
        <w:t>中的引用文件JJG 179—1990 滤光光电比色计已经作废，随着仪器的更迭，参照此类设备的国家规程规范，厂家说明书，试验数据等，计量性能指标也作了调整，原规范中的波长</w:t>
      </w:r>
      <w:r>
        <w:rPr>
          <w:rFonts w:hint="eastAsia" w:asciiTheme="minorEastAsia" w:hAnsiTheme="minorEastAsia" w:eastAsiaTheme="minorEastAsia" w:cstheme="minorEastAsia"/>
          <w:sz w:val="24"/>
          <w:lang w:val="en-US" w:eastAsia="zh-CN"/>
        </w:rPr>
        <w:t>示值误差“±5 nm”修改为“±10.0 nm”，删除了“波长重复性”</w:t>
      </w:r>
      <w:r>
        <w:rPr>
          <w:rFonts w:hint="eastAsia"/>
          <w:sz w:val="24"/>
          <w:lang w:val="en-US" w:eastAsia="zh-CN"/>
        </w:rPr>
        <w:t>计量性能指标，增加了</w:t>
      </w:r>
      <w:bookmarkStart w:id="1" w:name="_GoBack"/>
      <w:bookmarkEnd w:id="1"/>
      <w:r>
        <w:rPr>
          <w:rFonts w:hint="eastAsia"/>
          <w:sz w:val="24"/>
          <w:lang w:val="en-US" w:eastAsia="zh-CN"/>
        </w:rPr>
        <w:t>“稳定性”和“通道间差异”计量性能指标，计量性能指标“仪器线性误差”</w:t>
      </w:r>
      <w:r>
        <w:rPr>
          <w:rFonts w:hint="eastAsia" w:asciiTheme="minorEastAsia" w:hAnsiTheme="minorEastAsia" w:eastAsiaTheme="minorEastAsia" w:cstheme="minorEastAsia"/>
          <w:sz w:val="24"/>
          <w:lang w:val="en-US" w:eastAsia="zh-CN"/>
        </w:rPr>
        <w:t>修改为“仪器线性”，根据仪器显示功能，对仪器做了分类，整理出新的计量性能表格</w:t>
      </w:r>
      <w:r>
        <w:rPr>
          <w:rFonts w:hint="eastAsia"/>
          <w:sz w:val="24"/>
          <w:lang w:val="en-US" w:eastAsia="zh-CN"/>
        </w:rPr>
        <w:t>。</w:t>
      </w:r>
      <w:r>
        <w:rPr>
          <w:rFonts w:hint="eastAsia"/>
          <w:sz w:val="24"/>
        </w:rPr>
        <w:t>此次修订将能完善比色法食品安全快速检测仪的技术法规，可使此类仪器的性能得以溯源，为广大</w:t>
      </w:r>
      <w:r>
        <w:rPr>
          <w:rFonts w:hint="eastAsia"/>
          <w:sz w:val="24"/>
          <w:lang w:val="en-US" w:eastAsia="zh-CN"/>
        </w:rPr>
        <w:t>农业部门、高等院校、农贸市场、大型超市等行业中正常运行提供技术支撑。</w:t>
      </w:r>
    </w:p>
    <w:p w14:paraId="24A98FA8">
      <w:pPr>
        <w:ind w:firstLine="562" w:firstLineChars="200"/>
        <w:rPr>
          <w:rFonts w:ascii="宋体" w:hAnsi="宋体"/>
          <w:b/>
          <w:color w:val="000000"/>
          <w:sz w:val="28"/>
        </w:rPr>
      </w:pPr>
      <w:r>
        <w:rPr>
          <w:rFonts w:hint="eastAsia" w:ascii="宋体" w:hAnsi="宋体"/>
          <w:b/>
          <w:color w:val="000000"/>
          <w:sz w:val="28"/>
        </w:rPr>
        <w:t>三、</w:t>
      </w:r>
      <w:r>
        <w:rPr>
          <w:rFonts w:ascii="宋体" w:hAnsi="宋体"/>
          <w:b/>
          <w:color w:val="000000"/>
          <w:sz w:val="28"/>
        </w:rPr>
        <w:t>主要技术依据及原则</w:t>
      </w:r>
    </w:p>
    <w:p w14:paraId="7EB1A634">
      <w:pPr>
        <w:spacing w:line="360" w:lineRule="auto"/>
        <w:ind w:firstLine="480" w:firstLineChars="200"/>
        <w:rPr>
          <w:sz w:val="24"/>
        </w:rPr>
      </w:pPr>
      <w:r>
        <w:rPr>
          <w:sz w:val="24"/>
        </w:rPr>
        <w:t>1</w:t>
      </w:r>
      <w:r>
        <w:rPr>
          <w:rFonts w:hint="eastAsia"/>
          <w:sz w:val="24"/>
        </w:rPr>
        <w:t>、编制依据</w:t>
      </w:r>
    </w:p>
    <w:p w14:paraId="00421F64">
      <w:pPr>
        <w:spacing w:line="360" w:lineRule="auto"/>
        <w:ind w:firstLine="480" w:firstLineChars="200"/>
        <w:rPr>
          <w:rFonts w:ascii="宋体" w:cs="Arial"/>
          <w:sz w:val="24"/>
        </w:rPr>
      </w:pPr>
      <w:r>
        <w:rPr>
          <w:rFonts w:hint="eastAsia" w:ascii="宋体" w:hAnsi="宋体" w:cs="Arial"/>
          <w:sz w:val="24"/>
        </w:rPr>
        <w:t>主要依据有</w:t>
      </w:r>
      <w:r>
        <w:rPr>
          <w:rFonts w:hint="eastAsia"/>
          <w:sz w:val="24"/>
          <w:lang w:val="en-US" w:eastAsia="zh-CN"/>
        </w:rPr>
        <w:t>国家计量技术法规JJF 1729-2018</w:t>
      </w:r>
      <w:r>
        <w:rPr>
          <w:sz w:val="24"/>
        </w:rPr>
        <w:t>《</w:t>
      </w:r>
      <w:r>
        <w:rPr>
          <w:rFonts w:hint="eastAsia"/>
          <w:sz w:val="24"/>
          <w:lang w:val="en-US" w:eastAsia="zh-CN"/>
        </w:rPr>
        <w:t xml:space="preserve"> 农药残留检测仪校准规范</w:t>
      </w:r>
      <w:r>
        <w:rPr>
          <w:rFonts w:hint="eastAsia" w:ascii="宋体" w:hAnsi="宋体" w:cs="Arial"/>
          <w:sz w:val="24"/>
        </w:rPr>
        <w:t>》</w:t>
      </w:r>
      <w:r>
        <w:rPr>
          <w:rFonts w:hint="eastAsia"/>
          <w:sz w:val="24"/>
          <w:lang w:val="en-US" w:eastAsia="zh-CN"/>
        </w:rPr>
        <w:t>、</w:t>
      </w:r>
      <w:bookmarkStart w:id="0" w:name="_Hlk135921435"/>
      <w:r>
        <w:rPr>
          <w:rFonts w:hint="eastAsia"/>
          <w:sz w:val="24"/>
          <w:lang w:val="en-US" w:eastAsia="zh-CN"/>
        </w:rPr>
        <w:t>JJF（豫）180</w:t>
      </w:r>
      <w:r>
        <w:rPr>
          <w:sz w:val="24"/>
        </w:rPr>
        <w:t>-201</w:t>
      </w:r>
      <w:r>
        <w:rPr>
          <w:rFonts w:hint="eastAsia"/>
          <w:sz w:val="24"/>
          <w:lang w:val="en-US" w:eastAsia="zh-CN"/>
        </w:rPr>
        <w:t>4</w:t>
      </w:r>
      <w:r>
        <w:rPr>
          <w:sz w:val="24"/>
        </w:rPr>
        <w:t>《</w:t>
      </w:r>
      <w:r>
        <w:rPr>
          <w:rFonts w:hint="eastAsia"/>
          <w:sz w:val="24"/>
        </w:rPr>
        <w:t>比色法食品安全快速检测仪校准规范</w:t>
      </w:r>
      <w:r>
        <w:rPr>
          <w:rFonts w:hint="eastAsia" w:ascii="宋体" w:hAnsi="宋体" w:cs="Arial"/>
          <w:sz w:val="24"/>
        </w:rPr>
        <w:t>》</w:t>
      </w:r>
      <w:bookmarkEnd w:id="0"/>
      <w:r>
        <w:rPr>
          <w:rFonts w:hint="eastAsia" w:ascii="宋体" w:hAnsi="宋体" w:cs="Arial"/>
          <w:sz w:val="24"/>
        </w:rPr>
        <w:t>。</w:t>
      </w:r>
    </w:p>
    <w:p w14:paraId="03BAF49B">
      <w:pPr>
        <w:spacing w:line="360" w:lineRule="auto"/>
        <w:ind w:firstLine="480" w:firstLineChars="200"/>
        <w:rPr>
          <w:rFonts w:ascii="宋体" w:cs="Arial"/>
          <w:sz w:val="24"/>
        </w:rPr>
      </w:pPr>
      <w:r>
        <w:rPr>
          <w:rFonts w:hint="eastAsia" w:hAnsi="宋体"/>
          <w:sz w:val="24"/>
        </w:rPr>
        <w:t>凡是注日期的引用文件，仅注日期的版本适用于本规</w:t>
      </w:r>
      <w:r>
        <w:rPr>
          <w:rFonts w:hint="eastAsia" w:hAnsi="宋体"/>
          <w:sz w:val="24"/>
          <w:lang w:val="en-US" w:eastAsia="zh-CN"/>
        </w:rPr>
        <w:t>范</w:t>
      </w:r>
      <w:r>
        <w:rPr>
          <w:rFonts w:hint="eastAsia" w:hAnsi="宋体"/>
          <w:sz w:val="24"/>
        </w:rPr>
        <w:t>；凡是不注日期的引用文件，其最新版本（包括所有的修改单）适用于本规</w:t>
      </w:r>
      <w:r>
        <w:rPr>
          <w:rFonts w:hint="eastAsia" w:hAnsi="宋体"/>
          <w:sz w:val="24"/>
          <w:lang w:val="en-US" w:eastAsia="zh-CN"/>
        </w:rPr>
        <w:t>范</w:t>
      </w:r>
      <w:r>
        <w:rPr>
          <w:rFonts w:hint="eastAsia" w:hAnsi="宋体"/>
          <w:sz w:val="24"/>
        </w:rPr>
        <w:t>。</w:t>
      </w:r>
    </w:p>
    <w:p w14:paraId="36469768">
      <w:pPr>
        <w:spacing w:line="360" w:lineRule="auto"/>
        <w:ind w:firstLine="480" w:firstLineChars="200"/>
        <w:rPr>
          <w:sz w:val="24"/>
        </w:rPr>
      </w:pPr>
      <w:r>
        <w:rPr>
          <w:sz w:val="24"/>
        </w:rPr>
        <w:t>2</w:t>
      </w:r>
      <w:r>
        <w:rPr>
          <w:rFonts w:hint="eastAsia"/>
          <w:sz w:val="24"/>
        </w:rPr>
        <w:t>、编写原则</w:t>
      </w:r>
    </w:p>
    <w:p w14:paraId="4D2B425D">
      <w:pPr>
        <w:spacing w:line="360" w:lineRule="auto"/>
        <w:ind w:firstLine="480" w:firstLineChars="200"/>
        <w:rPr>
          <w:sz w:val="24"/>
        </w:rPr>
      </w:pPr>
      <w:r>
        <w:rPr>
          <w:rFonts w:hint="eastAsia"/>
          <w:sz w:val="24"/>
        </w:rPr>
        <w:t>在编制的过程中，起草小组掌握以下原则：</w:t>
      </w:r>
    </w:p>
    <w:p w14:paraId="0F9DCBB8">
      <w:pPr>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在技术上应与现行依据统一；</w:t>
      </w:r>
    </w:p>
    <w:p w14:paraId="339D14D5">
      <w:pPr>
        <w:spacing w:line="360" w:lineRule="auto"/>
        <w:ind w:firstLine="480" w:firstLineChars="200"/>
        <w:rPr>
          <w:sz w:val="24"/>
        </w:rPr>
      </w:pPr>
      <w:r>
        <w:rPr>
          <w:sz w:val="24"/>
        </w:rPr>
        <w:fldChar w:fldCharType="begin"/>
      </w:r>
      <w:r>
        <w:rPr>
          <w:sz w:val="24"/>
        </w:rPr>
        <w:instrText xml:space="preserve"> = 2 \* GB3 </w:instrText>
      </w:r>
      <w:r>
        <w:rPr>
          <w:sz w:val="24"/>
        </w:rPr>
        <w:fldChar w:fldCharType="separate"/>
      </w:r>
      <w:r>
        <w:rPr>
          <w:rFonts w:hint="eastAsia"/>
          <w:sz w:val="24"/>
        </w:rPr>
        <w:t>②</w:t>
      </w:r>
      <w:r>
        <w:rPr>
          <w:sz w:val="24"/>
        </w:rPr>
        <w:fldChar w:fldCharType="end"/>
      </w:r>
      <w:r>
        <w:rPr>
          <w:rFonts w:hint="eastAsia"/>
          <w:sz w:val="24"/>
        </w:rPr>
        <w:t>要体现可操作性和可行性；</w:t>
      </w:r>
    </w:p>
    <w:p w14:paraId="2C34F1B1">
      <w:pPr>
        <w:spacing w:line="360" w:lineRule="auto"/>
        <w:ind w:firstLine="480" w:firstLineChars="200"/>
        <w:rPr>
          <w:sz w:val="24"/>
        </w:rPr>
      </w:pPr>
      <w:r>
        <w:rPr>
          <w:sz w:val="24"/>
        </w:rPr>
        <w:fldChar w:fldCharType="begin"/>
      </w:r>
      <w:r>
        <w:rPr>
          <w:sz w:val="24"/>
        </w:rPr>
        <w:instrText xml:space="preserve">= 3 \* GB3</w:instrText>
      </w:r>
      <w:r>
        <w:rPr>
          <w:sz w:val="24"/>
        </w:rPr>
        <w:fldChar w:fldCharType="separate"/>
      </w:r>
      <w:r>
        <w:rPr>
          <w:rFonts w:hint="eastAsia"/>
          <w:sz w:val="24"/>
        </w:rPr>
        <w:t>③</w:t>
      </w:r>
      <w:r>
        <w:rPr>
          <w:sz w:val="24"/>
        </w:rPr>
        <w:fldChar w:fldCharType="end"/>
      </w:r>
      <w:r>
        <w:rPr>
          <w:rFonts w:hint="eastAsia"/>
          <w:sz w:val="24"/>
        </w:rPr>
        <w:t>规</w:t>
      </w:r>
      <w:r>
        <w:rPr>
          <w:rFonts w:hint="eastAsia"/>
          <w:sz w:val="24"/>
          <w:lang w:val="en-US" w:eastAsia="zh-CN"/>
        </w:rPr>
        <w:t>范</w:t>
      </w:r>
      <w:r>
        <w:rPr>
          <w:rFonts w:hint="eastAsia"/>
          <w:sz w:val="24"/>
        </w:rPr>
        <w:t>的组成项目符合编写规则要求；</w:t>
      </w:r>
    </w:p>
    <w:p w14:paraId="2CFBB871">
      <w:pPr>
        <w:ind w:firstLine="480" w:firstLineChars="200"/>
        <w:rPr>
          <w:b/>
          <w:bCs/>
          <w:sz w:val="24"/>
        </w:rPr>
      </w:pPr>
      <w:r>
        <w:rPr>
          <w:sz w:val="24"/>
        </w:rPr>
        <w:fldChar w:fldCharType="begin"/>
      </w:r>
      <w:r>
        <w:rPr>
          <w:sz w:val="24"/>
        </w:rPr>
        <w:instrText xml:space="preserve">= 4 \* GB3</w:instrText>
      </w:r>
      <w:r>
        <w:rPr>
          <w:sz w:val="24"/>
        </w:rPr>
        <w:fldChar w:fldCharType="separate"/>
      </w:r>
      <w:r>
        <w:rPr>
          <w:rFonts w:hint="eastAsia"/>
          <w:sz w:val="24"/>
        </w:rPr>
        <w:t>④</w:t>
      </w:r>
      <w:r>
        <w:rPr>
          <w:sz w:val="24"/>
        </w:rPr>
        <w:fldChar w:fldCharType="end"/>
      </w:r>
      <w:r>
        <w:rPr>
          <w:rFonts w:hint="eastAsia"/>
          <w:sz w:val="24"/>
        </w:rPr>
        <w:t>术语与计量单位的选</w:t>
      </w:r>
      <w:r>
        <w:rPr>
          <w:rFonts w:hint="eastAsia" w:ascii="宋体" w:hAnsi="宋体"/>
          <w:sz w:val="24"/>
        </w:rPr>
        <w:t>择符合</w:t>
      </w:r>
      <w:r>
        <w:rPr>
          <w:sz w:val="24"/>
        </w:rPr>
        <w:t>JJF 1001-2011</w:t>
      </w:r>
      <w:r>
        <w:rPr>
          <w:rFonts w:hint="eastAsia"/>
          <w:sz w:val="24"/>
        </w:rPr>
        <w:t>的要求。</w:t>
      </w:r>
    </w:p>
    <w:p w14:paraId="6E4712AE">
      <w:pPr>
        <w:ind w:firstLine="562" w:firstLineChars="200"/>
        <w:rPr>
          <w:rFonts w:hint="eastAsia"/>
          <w:b/>
          <w:bCs/>
          <w:sz w:val="28"/>
          <w:szCs w:val="28"/>
        </w:rPr>
      </w:pPr>
      <w:r>
        <w:rPr>
          <w:rFonts w:hint="eastAsia"/>
          <w:b/>
          <w:bCs/>
          <w:sz w:val="28"/>
          <w:szCs w:val="28"/>
        </w:rPr>
        <w:t>四、规</w:t>
      </w:r>
      <w:r>
        <w:rPr>
          <w:rFonts w:hint="eastAsia"/>
          <w:b/>
          <w:bCs/>
          <w:sz w:val="28"/>
          <w:szCs w:val="28"/>
          <w:lang w:val="en-US" w:eastAsia="zh-CN"/>
        </w:rPr>
        <w:t>范</w:t>
      </w:r>
      <w:r>
        <w:rPr>
          <w:rFonts w:hint="eastAsia"/>
          <w:b/>
          <w:bCs/>
          <w:sz w:val="28"/>
          <w:szCs w:val="28"/>
        </w:rPr>
        <w:t>编制主要参考资料</w:t>
      </w:r>
    </w:p>
    <w:p w14:paraId="788F6DAE">
      <w:pPr>
        <w:ind w:firstLine="480" w:firstLineChars="200"/>
        <w:rPr>
          <w:rFonts w:hint="eastAsia"/>
          <w:sz w:val="24"/>
        </w:rPr>
      </w:pPr>
      <w:r>
        <w:rPr>
          <w:rFonts w:hint="eastAsia"/>
          <w:sz w:val="24"/>
        </w:rPr>
        <w:t>比色法食品安全快速检测仪使用说明书、技术手册等。</w:t>
      </w:r>
    </w:p>
    <w:p w14:paraId="17F8DF46">
      <w:pPr>
        <w:ind w:firstLine="562" w:firstLineChars="200"/>
        <w:rPr>
          <w:b/>
          <w:bCs/>
          <w:sz w:val="28"/>
          <w:szCs w:val="28"/>
        </w:rPr>
      </w:pPr>
      <w:r>
        <w:rPr>
          <w:rFonts w:hint="eastAsia"/>
          <w:b/>
          <w:bCs/>
          <w:sz w:val="28"/>
          <w:szCs w:val="28"/>
        </w:rPr>
        <w:t>五、规范制定过程</w:t>
      </w:r>
    </w:p>
    <w:p w14:paraId="419A3F98">
      <w:pPr>
        <w:spacing w:line="360" w:lineRule="auto"/>
        <w:ind w:firstLine="480" w:firstLineChars="200"/>
        <w:rPr>
          <w:rFonts w:hAnsi="宋体"/>
          <w:sz w:val="24"/>
        </w:rPr>
      </w:pPr>
      <w:r>
        <w:rPr>
          <w:rFonts w:hint="eastAsia" w:hAnsi="宋体"/>
          <w:sz w:val="24"/>
        </w:rPr>
        <w:t>1、具体承担规</w:t>
      </w:r>
      <w:r>
        <w:rPr>
          <w:rFonts w:hint="eastAsia" w:hAnsi="宋体"/>
          <w:sz w:val="24"/>
          <w:lang w:val="en-US" w:eastAsia="zh-CN"/>
        </w:rPr>
        <w:t>范</w:t>
      </w:r>
      <w:r>
        <w:rPr>
          <w:rFonts w:hint="eastAsia" w:hAnsi="宋体"/>
          <w:sz w:val="24"/>
        </w:rPr>
        <w:t>修订任务的</w:t>
      </w:r>
      <w:r>
        <w:rPr>
          <w:rFonts w:hint="eastAsia" w:asciiTheme="minorEastAsia" w:hAnsiTheme="minorEastAsia" w:eastAsiaTheme="minorEastAsia" w:cstheme="minorEastAsia"/>
          <w:color w:val="000000" w:themeColor="text1"/>
          <w:sz w:val="24"/>
          <w:szCs w:val="24"/>
          <w:lang w:val="en-US" w:eastAsia="zh-CN"/>
        </w:rPr>
        <w:t>河南省平台经济发展指导中心</w:t>
      </w:r>
      <w:r>
        <w:rPr>
          <w:rFonts w:hint="eastAsia" w:hAnsi="宋体"/>
          <w:sz w:val="24"/>
        </w:rPr>
        <w:t>收集国内相关生产企业如：山东莱恩德智能科技有限公司</w:t>
      </w:r>
      <w:r>
        <w:rPr>
          <w:rFonts w:hint="eastAsia" w:hAnsi="宋体"/>
          <w:sz w:val="24"/>
          <w:lang w:val="en-US" w:eastAsia="zh-CN"/>
        </w:rPr>
        <w:t>、青岛海纳赛斯环保科技有限公司</w:t>
      </w:r>
      <w:r>
        <w:rPr>
          <w:rFonts w:hint="eastAsia" w:hAnsi="宋体"/>
          <w:sz w:val="24"/>
          <w:lang w:eastAsia="zh-CN"/>
        </w:rPr>
        <w:t>、</w:t>
      </w:r>
      <w:r>
        <w:rPr>
          <w:rFonts w:hint="eastAsia" w:hAnsi="宋体"/>
          <w:sz w:val="24"/>
          <w:lang w:val="en-US" w:eastAsia="zh-CN"/>
        </w:rPr>
        <w:t>上海飞测生物科技有限公司、深圳市芬析仪器制造有限公司</w:t>
      </w:r>
      <w:r>
        <w:rPr>
          <w:rFonts w:hint="eastAsia" w:hAnsi="宋体"/>
          <w:sz w:val="24"/>
        </w:rPr>
        <w:t>的各种型号的</w:t>
      </w:r>
      <w:r>
        <w:rPr>
          <w:rFonts w:hint="eastAsia"/>
          <w:sz w:val="24"/>
        </w:rPr>
        <w:t>比色法食品安全快速检测仪</w:t>
      </w:r>
      <w:r>
        <w:rPr>
          <w:rFonts w:hint="eastAsia" w:hAnsi="宋体"/>
          <w:sz w:val="24"/>
        </w:rPr>
        <w:t>的说明书，查阅</w:t>
      </w:r>
      <w:r>
        <w:rPr>
          <w:rFonts w:hint="eastAsia"/>
          <w:sz w:val="24"/>
        </w:rPr>
        <w:t>比色法食品安全快速检测仪</w:t>
      </w:r>
      <w:r>
        <w:rPr>
          <w:rFonts w:hint="eastAsia" w:hAnsi="宋体"/>
          <w:sz w:val="24"/>
        </w:rPr>
        <w:t>的相关指标。</w:t>
      </w:r>
    </w:p>
    <w:p w14:paraId="558688C7">
      <w:pPr>
        <w:spacing w:line="360" w:lineRule="auto"/>
        <w:ind w:firstLine="480" w:firstLineChars="200"/>
        <w:rPr>
          <w:rFonts w:hAnsi="宋体"/>
          <w:sz w:val="24"/>
        </w:rPr>
      </w:pPr>
      <w:r>
        <w:rPr>
          <w:rFonts w:hint="eastAsia" w:hAnsi="宋体"/>
          <w:sz w:val="24"/>
        </w:rPr>
        <w:t>2、参照</w:t>
      </w:r>
      <w:r>
        <w:rPr>
          <w:rFonts w:hint="eastAsia"/>
          <w:sz w:val="24"/>
          <w:lang w:val="en-US" w:eastAsia="zh-CN"/>
        </w:rPr>
        <w:t>国家计量技术法规JJF 1729-2018</w:t>
      </w:r>
      <w:r>
        <w:rPr>
          <w:sz w:val="24"/>
        </w:rPr>
        <w:t>《</w:t>
      </w:r>
      <w:r>
        <w:rPr>
          <w:rFonts w:hint="eastAsia"/>
          <w:sz w:val="24"/>
          <w:lang w:val="en-US" w:eastAsia="zh-CN"/>
        </w:rPr>
        <w:t xml:space="preserve"> 农药残留检测仪校准规范</w:t>
      </w:r>
      <w:r>
        <w:rPr>
          <w:rFonts w:hint="eastAsia" w:ascii="宋体" w:hAnsi="宋体" w:cs="Arial"/>
          <w:sz w:val="24"/>
        </w:rPr>
        <w:t>》</w:t>
      </w:r>
      <w:r>
        <w:rPr>
          <w:rFonts w:hint="eastAsia"/>
          <w:sz w:val="24"/>
          <w:lang w:val="en-US" w:eastAsia="zh-CN"/>
        </w:rPr>
        <w:t>、JJF（豫）180</w:t>
      </w:r>
      <w:r>
        <w:rPr>
          <w:sz w:val="24"/>
        </w:rPr>
        <w:t>-201</w:t>
      </w:r>
      <w:r>
        <w:rPr>
          <w:rFonts w:hint="eastAsia"/>
          <w:sz w:val="24"/>
          <w:lang w:val="en-US" w:eastAsia="zh-CN"/>
        </w:rPr>
        <w:t>4</w:t>
      </w:r>
      <w:r>
        <w:rPr>
          <w:sz w:val="24"/>
        </w:rPr>
        <w:t>《</w:t>
      </w:r>
      <w:r>
        <w:rPr>
          <w:rFonts w:hint="eastAsia"/>
          <w:sz w:val="24"/>
        </w:rPr>
        <w:t>比色法食品安全快速检测仪校准规范</w:t>
      </w:r>
      <w:r>
        <w:rPr>
          <w:rFonts w:hint="eastAsia" w:ascii="宋体" w:hAnsi="宋体" w:cs="Arial"/>
          <w:sz w:val="24"/>
        </w:rPr>
        <w:t>》，</w:t>
      </w:r>
      <w:r>
        <w:rPr>
          <w:rFonts w:hint="eastAsia" w:hAnsi="宋体"/>
          <w:sz w:val="24"/>
        </w:rPr>
        <w:t>起草</w:t>
      </w:r>
      <w:r>
        <w:rPr>
          <w:rFonts w:hint="eastAsia" w:hAnsi="宋体"/>
          <w:sz w:val="24"/>
          <w:lang w:val="en-US" w:eastAsia="zh-CN"/>
        </w:rPr>
        <w:t>校准规范</w:t>
      </w:r>
      <w:r>
        <w:rPr>
          <w:rFonts w:hint="eastAsia" w:hAnsi="宋体"/>
          <w:sz w:val="24"/>
        </w:rPr>
        <w:t>初稿，并针对</w:t>
      </w:r>
      <w:r>
        <w:rPr>
          <w:rFonts w:hint="eastAsia"/>
          <w:sz w:val="24"/>
        </w:rPr>
        <w:t>比色法食品安全快速检测仪</w:t>
      </w:r>
      <w:r>
        <w:rPr>
          <w:rFonts w:hint="eastAsia" w:hAnsi="宋体"/>
          <w:sz w:val="24"/>
        </w:rPr>
        <w:t>的计量性能进行了大量的实验，积累了丰富的实验数据。在此基础上，起草小组向长期从事计量工作的省内外专家和生产</w:t>
      </w:r>
      <w:r>
        <w:rPr>
          <w:rFonts w:hint="eastAsia"/>
          <w:sz w:val="24"/>
        </w:rPr>
        <w:t>比色法食品安全快速检测仪</w:t>
      </w:r>
      <w:r>
        <w:rPr>
          <w:rFonts w:hint="eastAsia" w:hAnsi="宋体"/>
          <w:sz w:val="24"/>
        </w:rPr>
        <w:t>的相关企业代表广泛征求意见。省内外专家及仪器操作人员代表对《</w:t>
      </w:r>
      <w:r>
        <w:rPr>
          <w:rFonts w:hint="eastAsia"/>
          <w:sz w:val="24"/>
        </w:rPr>
        <w:t>比色法食品安全快速检测仪校准规范</w:t>
      </w:r>
      <w:r>
        <w:rPr>
          <w:rFonts w:hint="eastAsia" w:hAnsi="宋体"/>
          <w:sz w:val="24"/>
        </w:rPr>
        <w:t>（初稿）》提出了宝贵的意见和建议。</w:t>
      </w:r>
    </w:p>
    <w:p w14:paraId="253A1CFA">
      <w:pPr>
        <w:spacing w:line="360" w:lineRule="auto"/>
        <w:ind w:firstLine="480" w:firstLineChars="200"/>
        <w:rPr>
          <w:rFonts w:hAnsi="宋体"/>
          <w:sz w:val="24"/>
        </w:rPr>
      </w:pPr>
      <w:r>
        <w:rPr>
          <w:rFonts w:hint="eastAsia" w:hAnsi="宋体"/>
          <w:sz w:val="24"/>
        </w:rPr>
        <w:t>3、随后，《</w:t>
      </w:r>
      <w:r>
        <w:rPr>
          <w:rFonts w:hint="eastAsia"/>
          <w:sz w:val="24"/>
        </w:rPr>
        <w:t>比色法食品安全快速检测仪校准规范</w:t>
      </w:r>
      <w:r>
        <w:rPr>
          <w:rFonts w:hint="eastAsia" w:hAnsi="宋体"/>
          <w:sz w:val="24"/>
        </w:rPr>
        <w:t>》起草小组在《</w:t>
      </w:r>
      <w:r>
        <w:rPr>
          <w:rFonts w:hint="eastAsia"/>
          <w:sz w:val="24"/>
        </w:rPr>
        <w:t>比色法食品安全快速检测仪校准规范</w:t>
      </w:r>
      <w:r>
        <w:rPr>
          <w:rFonts w:hint="eastAsia" w:hAnsi="宋体"/>
          <w:sz w:val="24"/>
        </w:rPr>
        <w:t>（初稿）》的基础上，进行修改形成了《</w:t>
      </w:r>
      <w:r>
        <w:rPr>
          <w:rFonts w:hint="eastAsia"/>
          <w:sz w:val="24"/>
        </w:rPr>
        <w:t>比色法食品安全快速检测仪校准规范</w:t>
      </w:r>
      <w:r>
        <w:rPr>
          <w:rFonts w:hint="eastAsia" w:hAnsi="宋体"/>
          <w:sz w:val="24"/>
        </w:rPr>
        <w:t>（修改）》稿。</w:t>
      </w:r>
    </w:p>
    <w:p w14:paraId="41765EC3">
      <w:pPr>
        <w:spacing w:line="360" w:lineRule="auto"/>
        <w:ind w:firstLine="480" w:firstLineChars="200"/>
        <w:rPr>
          <w:rFonts w:hAnsi="宋体"/>
          <w:sz w:val="24"/>
        </w:rPr>
      </w:pPr>
      <w:r>
        <w:rPr>
          <w:rFonts w:hint="eastAsia" w:hAnsi="宋体"/>
          <w:sz w:val="24"/>
        </w:rPr>
        <w:t>4、在河南省计量测试科学研究院内部召开规</w:t>
      </w:r>
      <w:r>
        <w:rPr>
          <w:rFonts w:hint="eastAsia" w:hAnsi="宋体"/>
          <w:sz w:val="24"/>
          <w:lang w:val="en-US" w:eastAsia="zh-CN"/>
        </w:rPr>
        <w:t>范</w:t>
      </w:r>
      <w:r>
        <w:rPr>
          <w:rFonts w:hint="eastAsia" w:hAnsi="宋体"/>
          <w:sz w:val="24"/>
        </w:rPr>
        <w:t>研讨会，与会专家进一步提出了修改意见，对《</w:t>
      </w:r>
      <w:r>
        <w:rPr>
          <w:rFonts w:hint="eastAsia"/>
          <w:sz w:val="24"/>
        </w:rPr>
        <w:t>比色法食品安全快速检测仪校准规范</w:t>
      </w:r>
      <w:r>
        <w:rPr>
          <w:rFonts w:hint="eastAsia" w:hAnsi="宋体"/>
          <w:sz w:val="24"/>
        </w:rPr>
        <w:t>（修改稿）》进行了修改和完善，形成征求意见稿，进行了更加广泛的意见征求工作。</w:t>
      </w:r>
    </w:p>
    <w:p w14:paraId="4D8FC61D">
      <w:pPr>
        <w:spacing w:line="360" w:lineRule="auto"/>
        <w:ind w:firstLine="482" w:firstLineChars="200"/>
        <w:rPr>
          <w:b/>
          <w:bCs/>
          <w:sz w:val="24"/>
        </w:rPr>
      </w:pPr>
      <w:r>
        <w:rPr>
          <w:rFonts w:hint="eastAsia"/>
          <w:b/>
          <w:bCs/>
          <w:sz w:val="24"/>
        </w:rPr>
        <w:t>六、编制内容说明</w:t>
      </w:r>
    </w:p>
    <w:p w14:paraId="1FB02DCA">
      <w:pPr>
        <w:spacing w:line="360" w:lineRule="auto"/>
        <w:ind w:firstLine="360" w:firstLineChars="150"/>
        <w:rPr>
          <w:sz w:val="24"/>
        </w:rPr>
      </w:pPr>
      <w:r>
        <w:rPr>
          <w:rFonts w:hint="eastAsia"/>
          <w:sz w:val="24"/>
        </w:rPr>
        <w:t>本规</w:t>
      </w:r>
      <w:r>
        <w:rPr>
          <w:rFonts w:hint="eastAsia"/>
          <w:sz w:val="24"/>
          <w:lang w:val="en-US" w:eastAsia="zh-CN"/>
        </w:rPr>
        <w:t>范</w:t>
      </w:r>
      <w:r>
        <w:rPr>
          <w:rFonts w:hint="eastAsia"/>
          <w:sz w:val="24"/>
        </w:rPr>
        <w:t>在形式与内容的一般性要求方面遵循</w:t>
      </w:r>
      <w:r>
        <w:rPr>
          <w:sz w:val="24"/>
        </w:rPr>
        <w:t>JJF 1071-2010</w:t>
      </w:r>
      <w:r>
        <w:rPr>
          <w:rFonts w:hint="eastAsia"/>
          <w:sz w:val="24"/>
        </w:rPr>
        <w:t>《国家计量校准规范编写规则》要求进行的编写。按</w:t>
      </w:r>
      <w:r>
        <w:rPr>
          <w:sz w:val="24"/>
        </w:rPr>
        <w:t>JJF 1071-2010</w:t>
      </w:r>
      <w:r>
        <w:rPr>
          <w:rFonts w:hint="eastAsia"/>
          <w:sz w:val="24"/>
        </w:rPr>
        <w:t>《国家计量校准规范编写规则》的要求进行的简要说明。规程根据</w:t>
      </w:r>
      <w:r>
        <w:rPr>
          <w:rFonts w:hint="eastAsia" w:ascii="宋体" w:hAnsi="宋体" w:cs="Arial"/>
          <w:sz w:val="24"/>
        </w:rPr>
        <w:t>国家标准</w:t>
      </w:r>
      <w:r>
        <w:rPr>
          <w:rFonts w:hint="eastAsia"/>
          <w:sz w:val="24"/>
        </w:rPr>
        <w:t>主要内容和要求，结合我省比色法食品安全快速检测仪的使用实际情况进行编写，具体有以下特点：</w:t>
      </w:r>
    </w:p>
    <w:p w14:paraId="1A54D663">
      <w:pPr>
        <w:spacing w:line="360" w:lineRule="auto"/>
        <w:ind w:firstLine="480" w:firstLineChars="200"/>
        <w:rPr>
          <w:sz w:val="24"/>
        </w:rPr>
      </w:pPr>
      <w:r>
        <w:rPr>
          <w:rFonts w:hint="eastAsia"/>
          <w:sz w:val="24"/>
        </w:rPr>
        <w:t>本规程适用于比色法食品安全快速检测仪校准规范的检定。</w:t>
      </w:r>
    </w:p>
    <w:p w14:paraId="7DAEED1B">
      <w:pPr>
        <w:spacing w:line="360" w:lineRule="auto"/>
        <w:ind w:firstLine="360" w:firstLineChars="150"/>
        <w:rPr>
          <w:rFonts w:hint="eastAsia"/>
          <w:sz w:val="24"/>
          <w:lang w:val="en-US" w:eastAsia="zh-CN"/>
        </w:rPr>
      </w:pPr>
      <w:r>
        <w:rPr>
          <w:rFonts w:hint="eastAsia"/>
          <w:sz w:val="24"/>
        </w:rPr>
        <w:t>比色法食品安全快速检测仪的工作原理</w:t>
      </w:r>
      <w:r>
        <w:rPr>
          <w:rFonts w:hint="eastAsia"/>
          <w:sz w:val="24"/>
          <w:lang w:eastAsia="zh-CN"/>
        </w:rPr>
        <w:t>，</w:t>
      </w:r>
      <w:r>
        <w:rPr>
          <w:rFonts w:hint="eastAsia"/>
          <w:sz w:val="24"/>
        </w:rPr>
        <w:t>光源主要作用是提供稳定的复合光源，波长范围一般为（340～800）nm，单色器的主要作用是将复合光分解成单色光，并将某一特定波长的单色光照射于被测量物质上，再通过光电传感器测定吸光度对该物质进行定性和定量分析。</w:t>
      </w:r>
    </w:p>
    <w:p w14:paraId="05339480">
      <w:pPr>
        <w:spacing w:line="360" w:lineRule="auto"/>
        <w:ind w:firstLine="360" w:firstLineChars="150"/>
        <w:rPr>
          <w:rFonts w:hint="eastAsia"/>
          <w:sz w:val="24"/>
          <w:lang w:val="en-US" w:eastAsia="zh-CN"/>
        </w:rPr>
      </w:pPr>
      <w:r>
        <w:rPr>
          <w:rFonts w:hint="eastAsia"/>
          <w:sz w:val="24"/>
          <w:lang w:val="en-US" w:eastAsia="zh-CN"/>
        </w:rPr>
        <w:t>原规范（1）计量特性 ：</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5"/>
        <w:gridCol w:w="4254"/>
      </w:tblGrid>
      <w:tr w14:paraId="7EA7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noWrap w:val="0"/>
            <w:vAlign w:val="center"/>
          </w:tcPr>
          <w:p w14:paraId="413C3224">
            <w:pPr>
              <w:spacing w:line="360" w:lineRule="auto"/>
              <w:ind w:firstLine="315" w:firstLineChars="150"/>
              <w:jc w:val="center"/>
              <w:rPr>
                <w:rFonts w:hint="eastAsia"/>
                <w:sz w:val="21"/>
                <w:szCs w:val="21"/>
                <w:lang w:val="en-US" w:eastAsia="zh-CN"/>
              </w:rPr>
            </w:pPr>
            <w:r>
              <w:rPr>
                <w:rFonts w:hint="eastAsia"/>
                <w:sz w:val="21"/>
                <w:szCs w:val="21"/>
              </w:rPr>
              <w:t>校准项目</w:t>
            </w:r>
          </w:p>
        </w:tc>
        <w:tc>
          <w:tcPr>
            <w:tcW w:w="4259" w:type="dxa"/>
            <w:gridSpan w:val="2"/>
            <w:noWrap w:val="0"/>
            <w:vAlign w:val="center"/>
          </w:tcPr>
          <w:p w14:paraId="3CF83870">
            <w:pPr>
              <w:spacing w:line="360" w:lineRule="auto"/>
              <w:ind w:firstLine="315" w:firstLineChars="150"/>
              <w:jc w:val="center"/>
              <w:rPr>
                <w:rFonts w:hint="eastAsia"/>
                <w:sz w:val="21"/>
                <w:szCs w:val="21"/>
                <w:lang w:val="en-US" w:eastAsia="zh-CN"/>
              </w:rPr>
            </w:pPr>
            <w:r>
              <w:rPr>
                <w:rFonts w:hint="eastAsia"/>
                <w:sz w:val="21"/>
                <w:szCs w:val="21"/>
              </w:rPr>
              <w:t>技术指标</w:t>
            </w:r>
          </w:p>
        </w:tc>
      </w:tr>
      <w:tr w14:paraId="3165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noWrap w:val="0"/>
            <w:vAlign w:val="center"/>
          </w:tcPr>
          <w:p w14:paraId="775F58A9">
            <w:pPr>
              <w:spacing w:line="360" w:lineRule="auto"/>
              <w:ind w:firstLine="315" w:firstLineChars="150"/>
              <w:jc w:val="center"/>
              <w:rPr>
                <w:rFonts w:hint="eastAsia"/>
                <w:sz w:val="21"/>
                <w:szCs w:val="21"/>
                <w:lang w:val="en-US" w:eastAsia="zh-CN"/>
              </w:rPr>
            </w:pPr>
            <w:r>
              <w:rPr>
                <w:rFonts w:hint="eastAsia"/>
                <w:sz w:val="21"/>
                <w:szCs w:val="21"/>
              </w:rPr>
              <w:t>波长示值误差</w:t>
            </w:r>
          </w:p>
        </w:tc>
        <w:tc>
          <w:tcPr>
            <w:tcW w:w="4259" w:type="dxa"/>
            <w:gridSpan w:val="2"/>
            <w:noWrap w:val="0"/>
            <w:vAlign w:val="center"/>
          </w:tcPr>
          <w:p w14:paraId="766C4A91">
            <w:pPr>
              <w:spacing w:line="360" w:lineRule="auto"/>
              <w:ind w:firstLine="315" w:firstLineChars="150"/>
              <w:jc w:val="center"/>
              <w:rPr>
                <w:rFonts w:hint="eastAsia"/>
                <w:sz w:val="21"/>
                <w:szCs w:val="21"/>
                <w:lang w:val="en-US" w:eastAsia="zh-CN"/>
              </w:rPr>
            </w:pPr>
            <w:r>
              <w:rPr>
                <w:rFonts w:hint="eastAsia"/>
                <w:sz w:val="21"/>
                <w:szCs w:val="21"/>
              </w:rPr>
              <w:t>±</w:t>
            </w:r>
            <w:r>
              <w:rPr>
                <w:rFonts w:hint="eastAsia"/>
                <w:sz w:val="21"/>
                <w:szCs w:val="21"/>
                <w:lang w:val="en-US" w:eastAsia="zh-CN"/>
              </w:rPr>
              <w:t>10</w:t>
            </w:r>
            <w:r>
              <w:rPr>
                <w:rFonts w:hint="eastAsia"/>
                <w:sz w:val="21"/>
                <w:szCs w:val="21"/>
              </w:rPr>
              <w:t xml:space="preserve"> nm</w:t>
            </w:r>
          </w:p>
        </w:tc>
      </w:tr>
      <w:tr w14:paraId="6AC4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noWrap w:val="0"/>
            <w:vAlign w:val="center"/>
          </w:tcPr>
          <w:p w14:paraId="61F5883B">
            <w:pPr>
              <w:spacing w:line="360" w:lineRule="auto"/>
              <w:ind w:firstLine="315" w:firstLineChars="150"/>
              <w:jc w:val="center"/>
              <w:rPr>
                <w:rFonts w:hint="default" w:eastAsia="宋体"/>
                <w:sz w:val="21"/>
                <w:szCs w:val="21"/>
                <w:lang w:val="en-US" w:eastAsia="zh-CN"/>
              </w:rPr>
            </w:pPr>
            <w:r>
              <w:rPr>
                <w:rFonts w:hint="eastAsia"/>
                <w:sz w:val="21"/>
                <w:szCs w:val="21"/>
                <w:lang w:val="en-US" w:eastAsia="zh-CN"/>
              </w:rPr>
              <w:t>波长重复性</w:t>
            </w:r>
          </w:p>
        </w:tc>
        <w:tc>
          <w:tcPr>
            <w:tcW w:w="4259" w:type="dxa"/>
            <w:gridSpan w:val="2"/>
            <w:noWrap w:val="0"/>
            <w:vAlign w:val="center"/>
          </w:tcPr>
          <w:p w14:paraId="5E7145F5">
            <w:pPr>
              <w:spacing w:line="360" w:lineRule="auto"/>
              <w:ind w:firstLine="315" w:firstLineChars="150"/>
              <w:jc w:val="center"/>
              <w:rPr>
                <w:rFonts w:hint="default" w:eastAsia="宋体"/>
                <w:sz w:val="21"/>
                <w:szCs w:val="21"/>
                <w:lang w:val="en-US" w:eastAsia="zh-CN"/>
              </w:rPr>
            </w:pPr>
            <w:r>
              <w:rPr>
                <w:rFonts w:hint="eastAsia"/>
                <w:sz w:val="21"/>
                <w:szCs w:val="21"/>
                <w:lang w:val="en-US" w:eastAsia="zh-CN"/>
              </w:rPr>
              <w:t>1 nm</w:t>
            </w:r>
          </w:p>
        </w:tc>
      </w:tr>
      <w:tr w14:paraId="3921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251" w:type="dxa"/>
            <w:gridSpan w:val="2"/>
            <w:vMerge w:val="restart"/>
            <w:noWrap w:val="0"/>
            <w:vAlign w:val="center"/>
          </w:tcPr>
          <w:p w14:paraId="35D39F7C">
            <w:pPr>
              <w:spacing w:line="360" w:lineRule="auto"/>
              <w:ind w:firstLine="315" w:firstLineChars="150"/>
              <w:jc w:val="center"/>
              <w:rPr>
                <w:rFonts w:hint="eastAsia"/>
                <w:sz w:val="21"/>
                <w:szCs w:val="21"/>
                <w:lang w:val="en-US" w:eastAsia="zh-CN"/>
              </w:rPr>
            </w:pPr>
            <w:r>
              <w:rPr>
                <w:rFonts w:hint="eastAsia"/>
                <w:sz w:val="21"/>
                <w:szCs w:val="21"/>
              </w:rPr>
              <w:t>仪器示值误差</w:t>
            </w:r>
          </w:p>
        </w:tc>
        <w:tc>
          <w:tcPr>
            <w:tcW w:w="4254" w:type="dxa"/>
            <w:noWrap w:val="0"/>
            <w:vAlign w:val="center"/>
          </w:tcPr>
          <w:p w14:paraId="24D95B56">
            <w:pPr>
              <w:spacing w:line="360" w:lineRule="auto"/>
              <w:ind w:firstLine="315" w:firstLineChars="150"/>
              <w:jc w:val="center"/>
              <w:rPr>
                <w:rFonts w:hint="eastAsia"/>
                <w:sz w:val="21"/>
                <w:szCs w:val="21"/>
                <w:lang w:val="en-US" w:eastAsia="zh-CN"/>
              </w:rPr>
            </w:pPr>
            <w:r>
              <w:rPr>
                <w:rFonts w:hint="eastAsia"/>
                <w:sz w:val="21"/>
                <w:szCs w:val="21"/>
              </w:rPr>
              <w:t>采用光谱中性滤光片：±5%</w:t>
            </w:r>
          </w:p>
        </w:tc>
      </w:tr>
      <w:tr w14:paraId="3AF1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251" w:type="dxa"/>
            <w:gridSpan w:val="2"/>
            <w:vMerge w:val="continue"/>
            <w:noWrap w:val="0"/>
            <w:vAlign w:val="center"/>
          </w:tcPr>
          <w:p w14:paraId="3B279677">
            <w:pPr>
              <w:spacing w:line="360" w:lineRule="auto"/>
              <w:ind w:firstLine="315" w:firstLineChars="150"/>
              <w:jc w:val="center"/>
              <w:rPr>
                <w:rFonts w:hint="eastAsia"/>
                <w:sz w:val="21"/>
                <w:szCs w:val="21"/>
              </w:rPr>
            </w:pPr>
          </w:p>
        </w:tc>
        <w:tc>
          <w:tcPr>
            <w:tcW w:w="4254" w:type="dxa"/>
            <w:noWrap w:val="0"/>
            <w:vAlign w:val="center"/>
          </w:tcPr>
          <w:p w14:paraId="296525C2">
            <w:pPr>
              <w:spacing w:line="360" w:lineRule="auto"/>
              <w:ind w:firstLine="315" w:firstLineChars="150"/>
              <w:jc w:val="center"/>
              <w:rPr>
                <w:rFonts w:hint="eastAsia"/>
                <w:sz w:val="21"/>
                <w:szCs w:val="21"/>
                <w:lang w:val="en-US" w:eastAsia="zh-CN"/>
              </w:rPr>
            </w:pPr>
            <w:r>
              <w:rPr>
                <w:rFonts w:hint="eastAsia"/>
                <w:sz w:val="21"/>
                <w:szCs w:val="21"/>
              </w:rPr>
              <w:t>采用甲醛溶液标准物质：±5%</w:t>
            </w:r>
          </w:p>
        </w:tc>
      </w:tr>
      <w:tr w14:paraId="5954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gridSpan w:val="2"/>
            <w:noWrap w:val="0"/>
            <w:vAlign w:val="center"/>
          </w:tcPr>
          <w:p w14:paraId="1DCEC137">
            <w:pPr>
              <w:spacing w:line="360" w:lineRule="auto"/>
              <w:ind w:firstLine="315" w:firstLineChars="150"/>
              <w:jc w:val="center"/>
              <w:rPr>
                <w:rFonts w:hint="eastAsia"/>
                <w:sz w:val="21"/>
                <w:szCs w:val="21"/>
                <w:lang w:val="en-US" w:eastAsia="zh-CN"/>
              </w:rPr>
            </w:pPr>
            <w:r>
              <w:rPr>
                <w:rFonts w:hint="eastAsia"/>
                <w:sz w:val="21"/>
                <w:szCs w:val="21"/>
              </w:rPr>
              <w:t>仪器线性</w:t>
            </w:r>
          </w:p>
        </w:tc>
        <w:tc>
          <w:tcPr>
            <w:tcW w:w="4254" w:type="dxa"/>
            <w:noWrap w:val="0"/>
            <w:vAlign w:val="center"/>
          </w:tcPr>
          <w:p w14:paraId="07820590">
            <w:pPr>
              <w:spacing w:line="360" w:lineRule="auto"/>
              <w:ind w:firstLine="315" w:firstLineChars="150"/>
              <w:jc w:val="center"/>
              <w:rPr>
                <w:rFonts w:hint="eastAsia"/>
                <w:sz w:val="21"/>
                <w:szCs w:val="21"/>
                <w:lang w:val="en-US" w:eastAsia="zh-CN"/>
              </w:rPr>
            </w:pPr>
            <w:r>
              <w:rPr>
                <w:rFonts w:hint="eastAsia"/>
                <w:sz w:val="21"/>
                <w:szCs w:val="21"/>
              </w:rPr>
              <w:t>采用氯化钴溶液标准物质：线性相关系数≥0.995</w:t>
            </w:r>
          </w:p>
        </w:tc>
      </w:tr>
      <w:tr w14:paraId="74E8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gridSpan w:val="2"/>
            <w:noWrap w:val="0"/>
            <w:vAlign w:val="center"/>
          </w:tcPr>
          <w:p w14:paraId="093C567C">
            <w:pPr>
              <w:spacing w:line="360" w:lineRule="auto"/>
              <w:ind w:firstLine="315" w:firstLineChars="150"/>
              <w:jc w:val="center"/>
              <w:rPr>
                <w:rFonts w:hint="eastAsia"/>
                <w:sz w:val="21"/>
                <w:szCs w:val="21"/>
                <w:lang w:val="en-US" w:eastAsia="zh-CN"/>
              </w:rPr>
            </w:pPr>
            <w:r>
              <w:rPr>
                <w:rFonts w:hint="eastAsia"/>
                <w:sz w:val="21"/>
                <w:szCs w:val="21"/>
              </w:rPr>
              <w:t>仪器重复性</w:t>
            </w:r>
          </w:p>
        </w:tc>
        <w:tc>
          <w:tcPr>
            <w:tcW w:w="4254" w:type="dxa"/>
            <w:noWrap w:val="0"/>
            <w:vAlign w:val="center"/>
          </w:tcPr>
          <w:p w14:paraId="5B3ED794">
            <w:pPr>
              <w:spacing w:line="360" w:lineRule="auto"/>
              <w:ind w:firstLine="315" w:firstLineChars="150"/>
              <w:jc w:val="center"/>
              <w:rPr>
                <w:rFonts w:hint="eastAsia"/>
                <w:sz w:val="21"/>
                <w:szCs w:val="21"/>
                <w:lang w:val="en-US" w:eastAsia="zh-CN"/>
              </w:rPr>
            </w:pPr>
            <w:r>
              <w:rPr>
                <w:rFonts w:hint="eastAsia"/>
                <w:sz w:val="21"/>
                <w:szCs w:val="21"/>
              </w:rPr>
              <w:t>1%</w:t>
            </w:r>
          </w:p>
        </w:tc>
      </w:tr>
    </w:tbl>
    <w:p w14:paraId="5BB23EC1">
      <w:pPr>
        <w:spacing w:line="360" w:lineRule="auto"/>
        <w:ind w:firstLine="360" w:firstLineChars="150"/>
        <w:rPr>
          <w:rFonts w:hint="eastAsia"/>
          <w:sz w:val="24"/>
          <w:lang w:val="en-US" w:eastAsia="zh-CN"/>
        </w:rPr>
      </w:pPr>
      <w:r>
        <w:rPr>
          <w:rFonts w:hint="eastAsia"/>
          <w:sz w:val="24"/>
          <w:lang w:val="en-US" w:eastAsia="zh-CN"/>
        </w:rPr>
        <w:t>现规范（1）计量特性 ：</w:t>
      </w:r>
    </w:p>
    <w:tbl>
      <w:tblPr>
        <w:tblStyle w:val="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gridCol w:w="1080"/>
        <w:gridCol w:w="1770"/>
        <w:gridCol w:w="1842"/>
        <w:gridCol w:w="1758"/>
        <w:gridCol w:w="2247"/>
      </w:tblGrid>
      <w:tr w14:paraId="380F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324" w:type="dxa"/>
            <w:shd w:val="clear" w:color="auto" w:fill="auto"/>
            <w:noWrap w:val="0"/>
            <w:vAlign w:val="center"/>
          </w:tcPr>
          <w:p w14:paraId="74BF891A">
            <w:pPr>
              <w:jc w:val="center"/>
              <w:rPr>
                <w:rFonts w:hint="eastAsia" w:ascii="宋体" w:hAnsi="宋体" w:cs="Calibri"/>
                <w:sz w:val="21"/>
                <w:szCs w:val="21"/>
              </w:rPr>
            </w:pPr>
          </w:p>
        </w:tc>
        <w:tc>
          <w:tcPr>
            <w:tcW w:w="2850" w:type="dxa"/>
            <w:gridSpan w:val="2"/>
            <w:shd w:val="clear" w:color="auto" w:fill="auto"/>
            <w:noWrap w:val="0"/>
            <w:vAlign w:val="center"/>
          </w:tcPr>
          <w:p w14:paraId="7A1F1C0F">
            <w:pPr>
              <w:jc w:val="center"/>
              <w:rPr>
                <w:rFonts w:hint="eastAsia" w:ascii="宋体" w:hAnsi="宋体" w:cs="Calibri"/>
                <w:sz w:val="21"/>
                <w:szCs w:val="21"/>
              </w:rPr>
            </w:pPr>
            <w:r>
              <w:rPr>
                <w:rFonts w:hint="eastAsia" w:ascii="宋体" w:hAnsi="宋体" w:cs="Calibri"/>
                <w:sz w:val="21"/>
                <w:szCs w:val="21"/>
              </w:rPr>
              <w:t>计量特性</w:t>
            </w:r>
          </w:p>
        </w:tc>
        <w:tc>
          <w:tcPr>
            <w:tcW w:w="1842" w:type="dxa"/>
            <w:shd w:val="clear" w:color="auto" w:fill="auto"/>
            <w:noWrap w:val="0"/>
            <w:vAlign w:val="center"/>
          </w:tcPr>
          <w:p w14:paraId="1CC3D419">
            <w:pPr>
              <w:jc w:val="center"/>
              <w:rPr>
                <w:rFonts w:hint="eastAsia" w:ascii="宋体" w:hAnsi="宋体" w:cs="Calibri"/>
                <w:sz w:val="21"/>
                <w:szCs w:val="21"/>
              </w:rPr>
            </w:pPr>
            <w:r>
              <w:rPr>
                <w:rFonts w:hint="eastAsia" w:ascii="宋体" w:hAnsi="宋体" w:cs="Calibri"/>
                <w:sz w:val="21"/>
                <w:szCs w:val="21"/>
              </w:rPr>
              <w:t>比色法食品安全快速检测仪</w:t>
            </w:r>
          </w:p>
          <w:p w14:paraId="50DF2879">
            <w:pPr>
              <w:jc w:val="center"/>
              <w:rPr>
                <w:rFonts w:ascii="宋体" w:hAnsi="宋体" w:cs="Calibri"/>
                <w:sz w:val="21"/>
                <w:szCs w:val="21"/>
              </w:rPr>
            </w:pPr>
            <w:r>
              <w:rPr>
                <w:rFonts w:hint="eastAsia" w:ascii="宋体" w:hAnsi="宋体" w:cs="Calibri"/>
                <w:sz w:val="21"/>
                <w:szCs w:val="21"/>
              </w:rPr>
              <w:t>(I类)</w:t>
            </w:r>
          </w:p>
        </w:tc>
        <w:tc>
          <w:tcPr>
            <w:tcW w:w="1758" w:type="dxa"/>
            <w:shd w:val="clear" w:color="auto" w:fill="auto"/>
            <w:noWrap w:val="0"/>
            <w:vAlign w:val="center"/>
          </w:tcPr>
          <w:p w14:paraId="69C8EF13">
            <w:pPr>
              <w:jc w:val="center"/>
              <w:rPr>
                <w:rFonts w:hint="eastAsia" w:ascii="宋体" w:hAnsi="宋体" w:cs="Calibri"/>
                <w:sz w:val="21"/>
                <w:szCs w:val="21"/>
              </w:rPr>
            </w:pPr>
            <w:r>
              <w:rPr>
                <w:rFonts w:hint="eastAsia" w:ascii="宋体" w:hAnsi="宋体" w:cs="Calibri"/>
                <w:sz w:val="21"/>
                <w:szCs w:val="21"/>
              </w:rPr>
              <w:t>比色法食品安全快速检测仪</w:t>
            </w:r>
          </w:p>
          <w:p w14:paraId="6334A160">
            <w:pPr>
              <w:jc w:val="center"/>
              <w:rPr>
                <w:rFonts w:hint="eastAsia" w:ascii="宋体" w:hAnsi="宋体" w:cs="Calibri"/>
                <w:sz w:val="21"/>
                <w:szCs w:val="21"/>
              </w:rPr>
            </w:pPr>
            <w:r>
              <w:rPr>
                <w:rFonts w:hint="eastAsia" w:ascii="宋体" w:hAnsi="宋体" w:cs="Calibri"/>
                <w:sz w:val="21"/>
                <w:szCs w:val="21"/>
              </w:rPr>
              <w:t>(Ⅱ类)</w:t>
            </w:r>
          </w:p>
        </w:tc>
        <w:tc>
          <w:tcPr>
            <w:tcW w:w="2247" w:type="dxa"/>
            <w:shd w:val="clear" w:color="auto" w:fill="auto"/>
            <w:noWrap w:val="0"/>
            <w:vAlign w:val="center"/>
          </w:tcPr>
          <w:p w14:paraId="7E8165C6">
            <w:pPr>
              <w:jc w:val="center"/>
              <w:rPr>
                <w:rFonts w:ascii="宋体" w:hAnsi="宋体" w:cs="Calibri"/>
                <w:sz w:val="21"/>
                <w:szCs w:val="21"/>
              </w:rPr>
            </w:pPr>
            <w:r>
              <w:rPr>
                <w:rFonts w:hint="eastAsia" w:ascii="宋体" w:hAnsi="宋体" w:cs="Calibri"/>
                <w:sz w:val="21"/>
                <w:szCs w:val="21"/>
              </w:rPr>
              <w:t>比色法食品安全快速检测仪</w:t>
            </w:r>
          </w:p>
          <w:p w14:paraId="12DD5E78">
            <w:pPr>
              <w:jc w:val="center"/>
              <w:rPr>
                <w:rFonts w:hint="eastAsia" w:ascii="宋体" w:hAnsi="宋体" w:cs="Calibri"/>
                <w:sz w:val="21"/>
                <w:szCs w:val="21"/>
              </w:rPr>
            </w:pPr>
            <w:r>
              <w:rPr>
                <w:rFonts w:hint="eastAsia" w:ascii="宋体" w:hAnsi="宋体" w:cs="Calibri"/>
                <w:sz w:val="21"/>
                <w:szCs w:val="21"/>
              </w:rPr>
              <w:t>(Ⅲ类)</w:t>
            </w:r>
          </w:p>
        </w:tc>
      </w:tr>
      <w:tr w14:paraId="2614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324" w:type="dxa"/>
            <w:shd w:val="clear" w:color="auto" w:fill="auto"/>
            <w:noWrap w:val="0"/>
            <w:vAlign w:val="center"/>
          </w:tcPr>
          <w:p w14:paraId="195A786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850" w:type="dxa"/>
            <w:gridSpan w:val="2"/>
            <w:shd w:val="clear" w:color="auto" w:fill="auto"/>
            <w:noWrap w:val="0"/>
            <w:vAlign w:val="center"/>
          </w:tcPr>
          <w:p w14:paraId="3BD41703">
            <w:pPr>
              <w:jc w:val="center"/>
              <w:rPr>
                <w:rFonts w:hint="eastAsia" w:ascii="宋体" w:hAnsi="宋体" w:cs="Calibri"/>
                <w:sz w:val="21"/>
                <w:szCs w:val="21"/>
              </w:rPr>
            </w:pPr>
            <w:r>
              <w:rPr>
                <w:rFonts w:hint="eastAsia" w:ascii="宋体" w:hAnsi="宋体" w:cs="Calibri"/>
                <w:sz w:val="21"/>
                <w:szCs w:val="21"/>
              </w:rPr>
              <w:t>波长示值误差</w:t>
            </w:r>
          </w:p>
        </w:tc>
        <w:tc>
          <w:tcPr>
            <w:tcW w:w="5847" w:type="dxa"/>
            <w:gridSpan w:val="3"/>
            <w:shd w:val="clear" w:color="auto" w:fill="auto"/>
            <w:noWrap w:val="0"/>
            <w:vAlign w:val="center"/>
          </w:tcPr>
          <w:p w14:paraId="3D8F2F13">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±10.0 nm</w:t>
            </w:r>
          </w:p>
        </w:tc>
      </w:tr>
      <w:tr w14:paraId="42F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324" w:type="dxa"/>
            <w:shd w:val="clear" w:color="auto" w:fill="auto"/>
            <w:noWrap w:val="0"/>
            <w:vAlign w:val="center"/>
          </w:tcPr>
          <w:p w14:paraId="7AA891F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80" w:type="dxa"/>
            <w:shd w:val="clear" w:color="auto" w:fill="auto"/>
            <w:noWrap w:val="0"/>
            <w:vAlign w:val="center"/>
          </w:tcPr>
          <w:p w14:paraId="0E945A7C">
            <w:pPr>
              <w:jc w:val="center"/>
              <w:rPr>
                <w:rFonts w:ascii="宋体" w:hAnsi="宋体" w:cs="Calibri"/>
                <w:sz w:val="21"/>
                <w:szCs w:val="21"/>
              </w:rPr>
            </w:pPr>
            <w:r>
              <w:rPr>
                <w:rFonts w:hint="eastAsia" w:ascii="宋体" w:hAnsi="宋体" w:cs="Calibri"/>
                <w:sz w:val="21"/>
                <w:szCs w:val="21"/>
              </w:rPr>
              <w:t>仪器</w:t>
            </w:r>
          </w:p>
          <w:p w14:paraId="01ED1884">
            <w:pPr>
              <w:jc w:val="center"/>
              <w:rPr>
                <w:rFonts w:hint="eastAsia" w:ascii="宋体" w:hAnsi="宋体" w:cs="Calibri"/>
                <w:sz w:val="21"/>
                <w:szCs w:val="21"/>
              </w:rPr>
            </w:pPr>
            <w:r>
              <w:rPr>
                <w:rFonts w:hint="eastAsia" w:ascii="宋体" w:hAnsi="宋体" w:cs="Calibri"/>
                <w:sz w:val="21"/>
                <w:szCs w:val="21"/>
              </w:rPr>
              <w:t>示值误差</w:t>
            </w:r>
          </w:p>
        </w:tc>
        <w:tc>
          <w:tcPr>
            <w:tcW w:w="1770" w:type="dxa"/>
            <w:shd w:val="clear" w:color="auto" w:fill="auto"/>
            <w:noWrap w:val="0"/>
            <w:vAlign w:val="center"/>
          </w:tcPr>
          <w:p w14:paraId="08741683">
            <w:pPr>
              <w:jc w:val="center"/>
              <w:rPr>
                <w:rFonts w:hint="eastAsia" w:ascii="宋体" w:hAnsi="宋体" w:cs="Calibri"/>
                <w:sz w:val="21"/>
                <w:szCs w:val="21"/>
              </w:rPr>
            </w:pPr>
            <w:r>
              <w:rPr>
                <w:rFonts w:hint="eastAsia" w:ascii="宋体" w:hAnsi="宋体" w:cs="Calibri"/>
                <w:sz w:val="21"/>
                <w:szCs w:val="21"/>
              </w:rPr>
              <w:t>吸光度示值误差</w:t>
            </w:r>
          </w:p>
        </w:tc>
        <w:tc>
          <w:tcPr>
            <w:tcW w:w="1842" w:type="dxa"/>
            <w:shd w:val="clear" w:color="auto" w:fill="auto"/>
            <w:noWrap w:val="0"/>
            <w:vAlign w:val="center"/>
          </w:tcPr>
          <w:p w14:paraId="0B8FDE24">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±5%</w:t>
            </w:r>
          </w:p>
        </w:tc>
        <w:tc>
          <w:tcPr>
            <w:tcW w:w="1758" w:type="dxa"/>
            <w:shd w:val="clear" w:color="auto" w:fill="auto"/>
            <w:noWrap w:val="0"/>
            <w:vAlign w:val="center"/>
          </w:tcPr>
          <w:p w14:paraId="5E440718">
            <w:pPr>
              <w:jc w:val="center"/>
              <w:rPr>
                <w:rFonts w:hint="eastAsia" w:ascii="宋体" w:hAnsi="宋体" w:cs="Calibri"/>
                <w:sz w:val="21"/>
                <w:szCs w:val="21"/>
              </w:rPr>
            </w:pPr>
            <w:r>
              <w:rPr>
                <w:rFonts w:hint="eastAsia" w:ascii="宋体" w:hAnsi="宋体" w:cs="Calibri"/>
                <w:sz w:val="21"/>
                <w:szCs w:val="21"/>
              </w:rPr>
              <w:t>-</w:t>
            </w:r>
          </w:p>
        </w:tc>
        <w:tc>
          <w:tcPr>
            <w:tcW w:w="2247" w:type="dxa"/>
            <w:shd w:val="clear" w:color="auto" w:fill="auto"/>
            <w:noWrap w:val="0"/>
            <w:vAlign w:val="center"/>
          </w:tcPr>
          <w:p w14:paraId="4951F7D3">
            <w:pPr>
              <w:jc w:val="center"/>
              <w:rPr>
                <w:rFonts w:hint="eastAsia" w:ascii="宋体" w:hAnsi="宋体" w:cs="Calibri"/>
                <w:sz w:val="21"/>
                <w:szCs w:val="21"/>
              </w:rPr>
            </w:pPr>
            <w:r>
              <w:rPr>
                <w:rFonts w:hint="eastAsia" w:ascii="宋体" w:hAnsi="宋体" w:cs="Calibri"/>
                <w:sz w:val="21"/>
                <w:szCs w:val="21"/>
              </w:rPr>
              <w:t>-</w:t>
            </w:r>
          </w:p>
        </w:tc>
      </w:tr>
      <w:tr w14:paraId="3BCB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324" w:type="dxa"/>
            <w:shd w:val="clear" w:color="auto" w:fill="auto"/>
            <w:noWrap w:val="0"/>
            <w:vAlign w:val="center"/>
          </w:tcPr>
          <w:p w14:paraId="657AE466">
            <w:pPr>
              <w:jc w:val="center"/>
              <w:rPr>
                <w:rFonts w:hint="default" w:ascii="Times New Roman" w:hAnsi="Times New Roman" w:cs="Times New Roman"/>
                <w:sz w:val="21"/>
                <w:szCs w:val="21"/>
              </w:rPr>
            </w:pPr>
          </w:p>
        </w:tc>
        <w:tc>
          <w:tcPr>
            <w:tcW w:w="1080" w:type="dxa"/>
            <w:shd w:val="clear" w:color="auto" w:fill="auto"/>
            <w:noWrap w:val="0"/>
            <w:vAlign w:val="center"/>
          </w:tcPr>
          <w:p w14:paraId="6702B7BA">
            <w:pPr>
              <w:jc w:val="center"/>
              <w:rPr>
                <w:rFonts w:hint="eastAsia" w:ascii="宋体" w:hAnsi="宋体" w:cs="Calibri"/>
                <w:sz w:val="21"/>
                <w:szCs w:val="21"/>
              </w:rPr>
            </w:pPr>
          </w:p>
        </w:tc>
        <w:tc>
          <w:tcPr>
            <w:tcW w:w="1770" w:type="dxa"/>
            <w:shd w:val="clear" w:color="auto" w:fill="auto"/>
            <w:noWrap w:val="0"/>
            <w:vAlign w:val="center"/>
          </w:tcPr>
          <w:p w14:paraId="3CC9E070">
            <w:pPr>
              <w:jc w:val="center"/>
              <w:rPr>
                <w:rFonts w:hint="eastAsia" w:ascii="宋体" w:hAnsi="宋体" w:cs="Calibri"/>
                <w:sz w:val="21"/>
                <w:szCs w:val="21"/>
              </w:rPr>
            </w:pPr>
            <w:r>
              <w:rPr>
                <w:rFonts w:hint="eastAsia" w:ascii="宋体" w:hAnsi="宋体" w:cs="Calibri"/>
                <w:sz w:val="21"/>
                <w:szCs w:val="21"/>
              </w:rPr>
              <w:t>浓度示值误差</w:t>
            </w:r>
          </w:p>
        </w:tc>
        <w:tc>
          <w:tcPr>
            <w:tcW w:w="1842" w:type="dxa"/>
            <w:shd w:val="clear" w:color="auto" w:fill="auto"/>
            <w:noWrap w:val="0"/>
            <w:vAlign w:val="center"/>
          </w:tcPr>
          <w:p w14:paraId="72C92BC0">
            <w:pPr>
              <w:jc w:val="center"/>
              <w:rPr>
                <w:rFonts w:hint="eastAsia" w:ascii="宋体" w:hAnsi="宋体" w:cs="Calibri"/>
                <w:sz w:val="21"/>
                <w:szCs w:val="21"/>
              </w:rPr>
            </w:pPr>
            <w:r>
              <w:rPr>
                <w:rFonts w:hint="eastAsia" w:ascii="宋体" w:hAnsi="宋体" w:cs="Calibri"/>
                <w:sz w:val="21"/>
                <w:szCs w:val="21"/>
              </w:rPr>
              <w:t>-</w:t>
            </w:r>
          </w:p>
        </w:tc>
        <w:tc>
          <w:tcPr>
            <w:tcW w:w="1758" w:type="dxa"/>
            <w:shd w:val="clear" w:color="auto" w:fill="auto"/>
            <w:noWrap w:val="0"/>
            <w:vAlign w:val="center"/>
          </w:tcPr>
          <w:p w14:paraId="1E9F60F3">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±5%</w:t>
            </w:r>
          </w:p>
        </w:tc>
        <w:tc>
          <w:tcPr>
            <w:tcW w:w="2247" w:type="dxa"/>
            <w:shd w:val="clear" w:color="auto" w:fill="auto"/>
            <w:noWrap w:val="0"/>
            <w:vAlign w:val="center"/>
          </w:tcPr>
          <w:p w14:paraId="2F172A88">
            <w:pPr>
              <w:jc w:val="center"/>
              <w:rPr>
                <w:rFonts w:hint="eastAsia" w:ascii="宋体" w:hAnsi="宋体" w:cs="Calibri"/>
                <w:sz w:val="21"/>
                <w:szCs w:val="21"/>
              </w:rPr>
            </w:pPr>
            <w:r>
              <w:rPr>
                <w:rFonts w:hint="eastAsia" w:ascii="宋体" w:hAnsi="宋体" w:cs="Calibri"/>
                <w:sz w:val="21"/>
                <w:szCs w:val="21"/>
              </w:rPr>
              <w:t>-</w:t>
            </w:r>
          </w:p>
        </w:tc>
      </w:tr>
      <w:tr w14:paraId="1808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324" w:type="dxa"/>
            <w:shd w:val="clear" w:color="auto" w:fill="auto"/>
            <w:noWrap w:val="0"/>
            <w:vAlign w:val="center"/>
          </w:tcPr>
          <w:p w14:paraId="73F59400">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80" w:type="dxa"/>
            <w:shd w:val="clear" w:color="auto" w:fill="auto"/>
            <w:noWrap w:val="0"/>
            <w:vAlign w:val="center"/>
          </w:tcPr>
          <w:p w14:paraId="3CBAA73B">
            <w:pPr>
              <w:jc w:val="center"/>
              <w:rPr>
                <w:rFonts w:ascii="宋体" w:hAnsi="宋体" w:cs="Calibri"/>
                <w:sz w:val="21"/>
                <w:szCs w:val="21"/>
              </w:rPr>
            </w:pPr>
            <w:r>
              <w:rPr>
                <w:rFonts w:hint="eastAsia" w:ascii="宋体" w:hAnsi="宋体" w:cs="Calibri"/>
                <w:sz w:val="21"/>
                <w:szCs w:val="21"/>
              </w:rPr>
              <w:t>仪器</w:t>
            </w:r>
          </w:p>
          <w:p w14:paraId="4631E45E">
            <w:pPr>
              <w:jc w:val="center"/>
              <w:rPr>
                <w:rFonts w:hint="eastAsia" w:ascii="宋体" w:hAnsi="宋体" w:cs="Calibri"/>
                <w:sz w:val="21"/>
                <w:szCs w:val="21"/>
              </w:rPr>
            </w:pPr>
            <w:r>
              <w:rPr>
                <w:rFonts w:hint="eastAsia" w:ascii="宋体" w:hAnsi="宋体" w:cs="Calibri"/>
                <w:sz w:val="21"/>
                <w:szCs w:val="21"/>
              </w:rPr>
              <w:t>重复性</w:t>
            </w:r>
          </w:p>
        </w:tc>
        <w:tc>
          <w:tcPr>
            <w:tcW w:w="1770" w:type="dxa"/>
            <w:shd w:val="clear" w:color="auto" w:fill="auto"/>
            <w:noWrap w:val="0"/>
            <w:vAlign w:val="center"/>
          </w:tcPr>
          <w:p w14:paraId="29480F4A">
            <w:pPr>
              <w:jc w:val="center"/>
              <w:rPr>
                <w:rFonts w:hint="eastAsia" w:ascii="宋体" w:hAnsi="宋体" w:cs="Calibri"/>
                <w:sz w:val="21"/>
                <w:szCs w:val="21"/>
              </w:rPr>
            </w:pPr>
            <w:r>
              <w:rPr>
                <w:rFonts w:hint="eastAsia" w:ascii="宋体" w:hAnsi="宋体" w:cs="Calibri"/>
                <w:sz w:val="21"/>
                <w:szCs w:val="21"/>
              </w:rPr>
              <w:t>吸光度重复性</w:t>
            </w:r>
          </w:p>
        </w:tc>
        <w:tc>
          <w:tcPr>
            <w:tcW w:w="1842" w:type="dxa"/>
            <w:shd w:val="clear" w:color="auto" w:fill="auto"/>
            <w:noWrap w:val="0"/>
            <w:vAlign w:val="center"/>
          </w:tcPr>
          <w:p w14:paraId="04F4298E">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1%</w:t>
            </w:r>
          </w:p>
        </w:tc>
        <w:tc>
          <w:tcPr>
            <w:tcW w:w="1758" w:type="dxa"/>
            <w:shd w:val="clear" w:color="auto" w:fill="auto"/>
            <w:noWrap w:val="0"/>
            <w:vAlign w:val="center"/>
          </w:tcPr>
          <w:p w14:paraId="5573C71B">
            <w:pPr>
              <w:jc w:val="center"/>
              <w:rPr>
                <w:rFonts w:hint="eastAsia" w:ascii="宋体" w:hAnsi="宋体" w:cs="Calibri"/>
                <w:sz w:val="21"/>
                <w:szCs w:val="21"/>
              </w:rPr>
            </w:pPr>
            <w:r>
              <w:rPr>
                <w:rFonts w:hint="eastAsia" w:ascii="宋体" w:hAnsi="宋体" w:cs="Calibri"/>
                <w:sz w:val="21"/>
                <w:szCs w:val="21"/>
              </w:rPr>
              <w:t>-</w:t>
            </w:r>
          </w:p>
        </w:tc>
        <w:tc>
          <w:tcPr>
            <w:tcW w:w="2247" w:type="dxa"/>
            <w:shd w:val="clear" w:color="auto" w:fill="auto"/>
            <w:noWrap w:val="0"/>
            <w:vAlign w:val="center"/>
          </w:tcPr>
          <w:p w14:paraId="1E88ED8B">
            <w:pPr>
              <w:jc w:val="center"/>
              <w:rPr>
                <w:rFonts w:hint="eastAsia" w:ascii="宋体" w:hAnsi="宋体" w:cs="Calibri"/>
                <w:sz w:val="21"/>
                <w:szCs w:val="21"/>
              </w:rPr>
            </w:pPr>
            <w:r>
              <w:rPr>
                <w:rFonts w:hint="eastAsia" w:ascii="宋体" w:hAnsi="宋体" w:cs="Calibri"/>
                <w:sz w:val="21"/>
                <w:szCs w:val="21"/>
              </w:rPr>
              <w:t>-</w:t>
            </w:r>
          </w:p>
        </w:tc>
      </w:tr>
      <w:tr w14:paraId="089A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324" w:type="dxa"/>
            <w:shd w:val="clear" w:color="auto" w:fill="auto"/>
            <w:noWrap w:val="0"/>
            <w:vAlign w:val="center"/>
          </w:tcPr>
          <w:p w14:paraId="7EDE4E6E">
            <w:pPr>
              <w:jc w:val="center"/>
              <w:rPr>
                <w:rFonts w:hint="default" w:ascii="Times New Roman" w:hAnsi="Times New Roman" w:cs="Times New Roman"/>
                <w:sz w:val="21"/>
                <w:szCs w:val="21"/>
              </w:rPr>
            </w:pPr>
          </w:p>
        </w:tc>
        <w:tc>
          <w:tcPr>
            <w:tcW w:w="1080" w:type="dxa"/>
            <w:shd w:val="clear" w:color="auto" w:fill="auto"/>
            <w:noWrap w:val="0"/>
            <w:vAlign w:val="center"/>
          </w:tcPr>
          <w:p w14:paraId="33151E76">
            <w:pPr>
              <w:jc w:val="center"/>
              <w:rPr>
                <w:rFonts w:hint="eastAsia" w:ascii="宋体" w:hAnsi="宋体" w:cs="Calibri"/>
                <w:sz w:val="21"/>
                <w:szCs w:val="21"/>
              </w:rPr>
            </w:pPr>
          </w:p>
        </w:tc>
        <w:tc>
          <w:tcPr>
            <w:tcW w:w="1770" w:type="dxa"/>
            <w:shd w:val="clear" w:color="auto" w:fill="auto"/>
            <w:noWrap w:val="0"/>
            <w:vAlign w:val="center"/>
          </w:tcPr>
          <w:p w14:paraId="683EEA8C">
            <w:pPr>
              <w:jc w:val="center"/>
              <w:rPr>
                <w:rFonts w:hint="eastAsia" w:ascii="宋体" w:hAnsi="宋体" w:cs="Calibri"/>
                <w:sz w:val="21"/>
                <w:szCs w:val="21"/>
              </w:rPr>
            </w:pPr>
            <w:r>
              <w:rPr>
                <w:rFonts w:hint="eastAsia" w:ascii="宋体" w:hAnsi="宋体" w:cs="Calibri"/>
                <w:sz w:val="21"/>
                <w:szCs w:val="21"/>
              </w:rPr>
              <w:t>浓度示值重复性</w:t>
            </w:r>
          </w:p>
        </w:tc>
        <w:tc>
          <w:tcPr>
            <w:tcW w:w="1842" w:type="dxa"/>
            <w:shd w:val="clear" w:color="auto" w:fill="auto"/>
            <w:noWrap w:val="0"/>
            <w:vAlign w:val="center"/>
          </w:tcPr>
          <w:p w14:paraId="10A33204">
            <w:pPr>
              <w:jc w:val="center"/>
              <w:rPr>
                <w:rFonts w:hint="eastAsia" w:ascii="宋体" w:hAnsi="宋体" w:cs="Calibri"/>
                <w:sz w:val="21"/>
                <w:szCs w:val="21"/>
              </w:rPr>
            </w:pPr>
            <w:r>
              <w:rPr>
                <w:rFonts w:hint="eastAsia" w:ascii="宋体" w:hAnsi="宋体" w:cs="Calibri"/>
                <w:sz w:val="21"/>
                <w:szCs w:val="21"/>
              </w:rPr>
              <w:t>-</w:t>
            </w:r>
          </w:p>
        </w:tc>
        <w:tc>
          <w:tcPr>
            <w:tcW w:w="1758" w:type="dxa"/>
            <w:shd w:val="clear" w:color="auto" w:fill="auto"/>
            <w:noWrap w:val="0"/>
            <w:vAlign w:val="center"/>
          </w:tcPr>
          <w:p w14:paraId="6F937052">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1%</w:t>
            </w:r>
          </w:p>
        </w:tc>
        <w:tc>
          <w:tcPr>
            <w:tcW w:w="2247" w:type="dxa"/>
            <w:shd w:val="clear" w:color="auto" w:fill="auto"/>
            <w:noWrap w:val="0"/>
            <w:vAlign w:val="center"/>
          </w:tcPr>
          <w:p w14:paraId="1A331D39">
            <w:pPr>
              <w:jc w:val="center"/>
              <w:rPr>
                <w:rFonts w:hint="eastAsia" w:ascii="宋体" w:hAnsi="宋体" w:cs="Calibri"/>
                <w:sz w:val="21"/>
                <w:szCs w:val="21"/>
              </w:rPr>
            </w:pPr>
            <w:r>
              <w:rPr>
                <w:rFonts w:hint="eastAsia" w:ascii="宋体" w:hAnsi="宋体" w:cs="Calibri"/>
                <w:sz w:val="21"/>
                <w:szCs w:val="21"/>
              </w:rPr>
              <w:t>-</w:t>
            </w:r>
          </w:p>
        </w:tc>
      </w:tr>
      <w:tr w14:paraId="051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24" w:type="dxa"/>
            <w:shd w:val="clear" w:color="auto" w:fill="auto"/>
            <w:noWrap w:val="0"/>
            <w:vAlign w:val="center"/>
          </w:tcPr>
          <w:p w14:paraId="15CC3D28">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850" w:type="dxa"/>
            <w:gridSpan w:val="2"/>
            <w:shd w:val="clear" w:color="auto" w:fill="auto"/>
            <w:noWrap w:val="0"/>
            <w:vAlign w:val="center"/>
          </w:tcPr>
          <w:p w14:paraId="6F42081D">
            <w:pPr>
              <w:jc w:val="center"/>
              <w:rPr>
                <w:rFonts w:hint="eastAsia" w:ascii="宋体" w:hAnsi="宋体" w:cs="Calibri"/>
                <w:sz w:val="21"/>
                <w:szCs w:val="21"/>
              </w:rPr>
            </w:pPr>
            <w:r>
              <w:rPr>
                <w:rFonts w:hint="eastAsia" w:ascii="宋体" w:hAnsi="宋体" w:cs="Calibri"/>
                <w:sz w:val="21"/>
                <w:szCs w:val="21"/>
              </w:rPr>
              <w:t>稳定性</w:t>
            </w:r>
          </w:p>
        </w:tc>
        <w:tc>
          <w:tcPr>
            <w:tcW w:w="1842" w:type="dxa"/>
            <w:shd w:val="clear" w:color="auto" w:fill="auto"/>
            <w:noWrap w:val="0"/>
            <w:vAlign w:val="center"/>
          </w:tcPr>
          <w:p w14:paraId="5A1695D8">
            <w:pPr>
              <w:jc w:val="center"/>
              <w:rPr>
                <w:rFonts w:hint="default" w:ascii="Times New Roman" w:hAnsi="Times New Roman" w:cs="Times New Roman"/>
                <w:sz w:val="21"/>
                <w:szCs w:val="21"/>
              </w:rPr>
            </w:pPr>
            <w:r>
              <w:rPr>
                <w:rFonts w:hint="default" w:ascii="Times New Roman" w:hAnsi="Times New Roman" w:cs="Times New Roman"/>
                <w:sz w:val="21"/>
                <w:szCs w:val="21"/>
              </w:rPr>
              <w:t>10min</w:t>
            </w:r>
            <w:r>
              <w:rPr>
                <w:rFonts w:ascii="宋体" w:hAnsi="宋体" w:cs="Calibri"/>
                <w:sz w:val="21"/>
                <w:szCs w:val="21"/>
              </w:rPr>
              <w:t>内吸光度</w:t>
            </w:r>
            <w:r>
              <w:rPr>
                <w:rFonts w:hint="eastAsia" w:ascii="宋体" w:hAnsi="宋体" w:cs="Calibri"/>
                <w:sz w:val="21"/>
                <w:szCs w:val="21"/>
                <w:lang w:val="en-US" w:eastAsia="zh-CN"/>
              </w:rPr>
              <w:t>变化</w:t>
            </w:r>
            <w:r>
              <w:rPr>
                <w:rFonts w:ascii="宋体" w:hAnsi="宋体" w:cs="Calibri"/>
                <w:sz w:val="21"/>
                <w:szCs w:val="21"/>
              </w:rPr>
              <w:t>不超过</w:t>
            </w:r>
            <w:r>
              <w:rPr>
                <w:rFonts w:hint="default" w:ascii="Times New Roman" w:hAnsi="Times New Roman" w:cs="Times New Roman"/>
                <w:sz w:val="21"/>
                <w:szCs w:val="21"/>
              </w:rPr>
              <w:t>±0.01</w:t>
            </w:r>
          </w:p>
        </w:tc>
        <w:tc>
          <w:tcPr>
            <w:tcW w:w="1758" w:type="dxa"/>
            <w:shd w:val="clear" w:color="auto" w:fill="auto"/>
            <w:noWrap w:val="0"/>
            <w:vAlign w:val="center"/>
          </w:tcPr>
          <w:p w14:paraId="0F91E0FC">
            <w:pPr>
              <w:jc w:val="center"/>
              <w:rPr>
                <w:rFonts w:hint="eastAsia" w:ascii="宋体" w:hAnsi="宋体" w:cs="Calibri"/>
                <w:sz w:val="21"/>
                <w:szCs w:val="21"/>
              </w:rPr>
            </w:pPr>
            <w:r>
              <w:rPr>
                <w:rFonts w:hint="eastAsia" w:ascii="宋体" w:hAnsi="宋体" w:cs="Calibri"/>
                <w:sz w:val="21"/>
                <w:szCs w:val="21"/>
              </w:rPr>
              <w:t>-</w:t>
            </w:r>
          </w:p>
        </w:tc>
        <w:tc>
          <w:tcPr>
            <w:tcW w:w="2247" w:type="dxa"/>
            <w:shd w:val="clear" w:color="auto" w:fill="auto"/>
            <w:noWrap w:val="0"/>
            <w:vAlign w:val="center"/>
          </w:tcPr>
          <w:p w14:paraId="35AC2051">
            <w:pPr>
              <w:jc w:val="center"/>
              <w:rPr>
                <w:rFonts w:hint="eastAsia" w:ascii="宋体" w:hAnsi="宋体" w:cs="Calibri"/>
                <w:sz w:val="21"/>
                <w:szCs w:val="21"/>
              </w:rPr>
            </w:pPr>
            <w:r>
              <w:rPr>
                <w:rFonts w:hint="eastAsia" w:ascii="宋体" w:hAnsi="宋体" w:cs="Calibri"/>
                <w:sz w:val="21"/>
                <w:szCs w:val="21"/>
              </w:rPr>
              <w:t>-</w:t>
            </w:r>
          </w:p>
        </w:tc>
      </w:tr>
      <w:tr w14:paraId="2E9E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24" w:type="dxa"/>
            <w:shd w:val="clear" w:color="auto" w:fill="auto"/>
            <w:noWrap w:val="0"/>
            <w:vAlign w:val="center"/>
          </w:tcPr>
          <w:p w14:paraId="27CEEB4C">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850" w:type="dxa"/>
            <w:gridSpan w:val="2"/>
            <w:shd w:val="clear" w:color="auto" w:fill="auto"/>
            <w:noWrap w:val="0"/>
            <w:vAlign w:val="center"/>
          </w:tcPr>
          <w:p w14:paraId="7DEB1FAD">
            <w:pPr>
              <w:jc w:val="center"/>
              <w:rPr>
                <w:rFonts w:hint="eastAsia" w:ascii="宋体" w:hAnsi="宋体" w:cs="Calibri"/>
                <w:sz w:val="21"/>
                <w:szCs w:val="21"/>
              </w:rPr>
            </w:pPr>
            <w:r>
              <w:rPr>
                <w:rFonts w:hint="eastAsia" w:ascii="宋体" w:hAnsi="宋体" w:cs="Calibri"/>
                <w:sz w:val="21"/>
                <w:szCs w:val="21"/>
              </w:rPr>
              <w:t>通道间差异</w:t>
            </w:r>
          </w:p>
        </w:tc>
        <w:tc>
          <w:tcPr>
            <w:tcW w:w="1842" w:type="dxa"/>
            <w:shd w:val="clear" w:color="auto" w:fill="auto"/>
            <w:noWrap w:val="0"/>
            <w:vAlign w:val="center"/>
          </w:tcPr>
          <w:p w14:paraId="46E3A8B3">
            <w:pPr>
              <w:jc w:val="center"/>
              <w:rPr>
                <w:rFonts w:hint="eastAsia" w:ascii="宋体" w:hAnsi="宋体" w:cs="Calibri"/>
                <w:sz w:val="21"/>
                <w:szCs w:val="21"/>
              </w:rPr>
            </w:pPr>
            <w:r>
              <w:rPr>
                <w:rFonts w:hint="eastAsia" w:ascii="宋体" w:hAnsi="宋体" w:cs="Calibri"/>
                <w:sz w:val="21"/>
                <w:szCs w:val="21"/>
              </w:rPr>
              <w:t>吸光度示值差异≤</w:t>
            </w:r>
            <w:r>
              <w:rPr>
                <w:rFonts w:hint="default" w:ascii="Times New Roman" w:hAnsi="Times New Roman" w:cs="Times New Roman"/>
                <w:sz w:val="21"/>
                <w:szCs w:val="21"/>
              </w:rPr>
              <w:t>0.05</w:t>
            </w:r>
          </w:p>
        </w:tc>
        <w:tc>
          <w:tcPr>
            <w:tcW w:w="1758" w:type="dxa"/>
            <w:shd w:val="clear" w:color="auto" w:fill="auto"/>
            <w:noWrap w:val="0"/>
            <w:vAlign w:val="center"/>
          </w:tcPr>
          <w:p w14:paraId="2B82EF78">
            <w:pPr>
              <w:jc w:val="center"/>
              <w:rPr>
                <w:rFonts w:hint="eastAsia" w:ascii="宋体" w:hAnsi="宋体" w:cs="Calibri"/>
                <w:sz w:val="21"/>
                <w:szCs w:val="21"/>
              </w:rPr>
            </w:pPr>
            <w:r>
              <w:rPr>
                <w:rFonts w:hint="eastAsia" w:ascii="宋体" w:hAnsi="宋体" w:cs="Calibri"/>
                <w:sz w:val="21"/>
                <w:szCs w:val="21"/>
              </w:rPr>
              <w:t>-</w:t>
            </w:r>
          </w:p>
        </w:tc>
        <w:tc>
          <w:tcPr>
            <w:tcW w:w="2247" w:type="dxa"/>
            <w:shd w:val="clear" w:color="auto" w:fill="auto"/>
            <w:noWrap w:val="0"/>
            <w:vAlign w:val="center"/>
          </w:tcPr>
          <w:p w14:paraId="727F7F4F">
            <w:pPr>
              <w:jc w:val="center"/>
              <w:rPr>
                <w:rFonts w:hint="eastAsia" w:ascii="宋体" w:hAnsi="宋体" w:cs="Calibri"/>
                <w:sz w:val="21"/>
                <w:szCs w:val="21"/>
              </w:rPr>
            </w:pPr>
            <w:r>
              <w:rPr>
                <w:rFonts w:hint="eastAsia" w:ascii="宋体" w:hAnsi="宋体" w:cs="Calibri"/>
                <w:sz w:val="21"/>
                <w:szCs w:val="21"/>
              </w:rPr>
              <w:t>-</w:t>
            </w:r>
          </w:p>
        </w:tc>
      </w:tr>
      <w:tr w14:paraId="798F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324" w:type="dxa"/>
            <w:shd w:val="clear" w:color="auto" w:fill="auto"/>
            <w:noWrap w:val="0"/>
            <w:vAlign w:val="center"/>
          </w:tcPr>
          <w:p w14:paraId="6A57606A">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850" w:type="dxa"/>
            <w:gridSpan w:val="2"/>
            <w:shd w:val="clear" w:color="auto" w:fill="auto"/>
            <w:noWrap w:val="0"/>
            <w:vAlign w:val="center"/>
          </w:tcPr>
          <w:p w14:paraId="329B725E">
            <w:pPr>
              <w:jc w:val="center"/>
              <w:rPr>
                <w:rFonts w:hint="eastAsia" w:ascii="宋体" w:hAnsi="宋体" w:cs="Calibri"/>
                <w:sz w:val="21"/>
                <w:szCs w:val="21"/>
              </w:rPr>
            </w:pPr>
            <w:r>
              <w:rPr>
                <w:rFonts w:hint="eastAsia" w:ascii="宋体" w:hAnsi="宋体" w:cs="Calibri"/>
                <w:sz w:val="21"/>
                <w:szCs w:val="21"/>
              </w:rPr>
              <w:t>仪器线性</w:t>
            </w:r>
          </w:p>
        </w:tc>
        <w:tc>
          <w:tcPr>
            <w:tcW w:w="1842" w:type="dxa"/>
            <w:shd w:val="clear" w:color="auto" w:fill="auto"/>
            <w:noWrap w:val="0"/>
            <w:vAlign w:val="center"/>
          </w:tcPr>
          <w:p w14:paraId="31ED62AA">
            <w:pPr>
              <w:jc w:val="center"/>
              <w:rPr>
                <w:rFonts w:hint="eastAsia" w:ascii="宋体" w:hAnsi="宋体" w:cs="Calibri"/>
                <w:sz w:val="21"/>
                <w:szCs w:val="21"/>
              </w:rPr>
            </w:pPr>
            <w:r>
              <w:rPr>
                <w:rFonts w:hint="eastAsia" w:ascii="宋体" w:hAnsi="宋体" w:cs="Calibri"/>
                <w:sz w:val="21"/>
                <w:szCs w:val="21"/>
              </w:rPr>
              <w:t>-</w:t>
            </w:r>
          </w:p>
        </w:tc>
        <w:tc>
          <w:tcPr>
            <w:tcW w:w="1758" w:type="dxa"/>
            <w:shd w:val="clear" w:color="auto" w:fill="auto"/>
            <w:noWrap w:val="0"/>
            <w:vAlign w:val="center"/>
          </w:tcPr>
          <w:p w14:paraId="79F5CED7">
            <w:pPr>
              <w:jc w:val="center"/>
              <w:rPr>
                <w:rFonts w:hint="eastAsia" w:ascii="宋体" w:hAnsi="宋体" w:cs="Calibri"/>
                <w:sz w:val="21"/>
                <w:szCs w:val="21"/>
              </w:rPr>
            </w:pPr>
            <w:r>
              <w:rPr>
                <w:rFonts w:hint="eastAsia" w:ascii="宋体" w:hAnsi="宋体" w:cs="Calibri"/>
                <w:sz w:val="21"/>
                <w:szCs w:val="21"/>
              </w:rPr>
              <w:t>-</w:t>
            </w:r>
          </w:p>
        </w:tc>
        <w:tc>
          <w:tcPr>
            <w:tcW w:w="2247" w:type="dxa"/>
            <w:shd w:val="clear" w:color="auto" w:fill="auto"/>
            <w:noWrap w:val="0"/>
            <w:vAlign w:val="center"/>
          </w:tcPr>
          <w:p w14:paraId="35E331D7">
            <w:pPr>
              <w:jc w:val="center"/>
              <w:rPr>
                <w:rFonts w:ascii="宋体" w:hAnsi="宋体" w:cs="Calibri"/>
                <w:sz w:val="21"/>
                <w:szCs w:val="21"/>
              </w:rPr>
            </w:pPr>
            <w:r>
              <w:rPr>
                <w:rFonts w:hint="eastAsia" w:ascii="宋体" w:hAnsi="宋体" w:cs="Calibri"/>
                <w:sz w:val="21"/>
                <w:szCs w:val="21"/>
              </w:rPr>
              <w:t>线性相关系数</w:t>
            </w:r>
          </w:p>
          <w:p w14:paraId="6DAF7083">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0.995</w:t>
            </w:r>
          </w:p>
        </w:tc>
      </w:tr>
      <w:tr w14:paraId="199D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5" w:hRule="atLeast"/>
          <w:jc w:val="center"/>
        </w:trPr>
        <w:tc>
          <w:tcPr>
            <w:tcW w:w="9021" w:type="dxa"/>
            <w:gridSpan w:val="6"/>
            <w:shd w:val="clear" w:color="auto" w:fill="auto"/>
            <w:noWrap w:val="0"/>
            <w:vAlign w:val="center"/>
          </w:tcPr>
          <w:p w14:paraId="416DB713">
            <w:pPr>
              <w:ind w:firstLine="420" w:firstLineChars="200"/>
              <w:jc w:val="both"/>
              <w:rPr>
                <w:rFonts w:hint="eastAsia" w:ascii="宋体" w:hAnsi="宋体" w:cs="Calibri"/>
                <w:sz w:val="21"/>
                <w:szCs w:val="21"/>
              </w:rPr>
            </w:pPr>
            <w:r>
              <w:rPr>
                <w:rFonts w:hint="eastAsia" w:ascii="宋体" w:hAnsi="宋体" w:cs="Calibri"/>
                <w:sz w:val="21"/>
                <w:szCs w:val="21"/>
              </w:rPr>
              <w:t>注：</w:t>
            </w:r>
          </w:p>
          <w:p w14:paraId="1E86A5CF">
            <w:pPr>
              <w:ind w:firstLine="420" w:firstLineChars="200"/>
              <w:jc w:val="both"/>
              <w:rPr>
                <w:rFonts w:ascii="宋体" w:hAnsi="宋体" w:cs="Calibri"/>
                <w:sz w:val="21"/>
                <w:szCs w:val="21"/>
              </w:rPr>
            </w:pPr>
            <w:r>
              <w:rPr>
                <w:rFonts w:hint="eastAsia" w:ascii="宋体" w:hAnsi="宋体" w:cs="Calibri"/>
                <w:sz w:val="21"/>
                <w:szCs w:val="21"/>
              </w:rPr>
              <w:t>1</w:t>
            </w:r>
            <w:r>
              <w:rPr>
                <w:rFonts w:ascii="宋体" w:hAnsi="宋体" w:cs="Calibri"/>
                <w:sz w:val="21"/>
                <w:szCs w:val="21"/>
              </w:rPr>
              <w:t xml:space="preserve"> </w:t>
            </w:r>
            <w:r>
              <w:rPr>
                <w:rFonts w:hint="eastAsia" w:ascii="宋体" w:hAnsi="宋体" w:cs="Calibri"/>
                <w:sz w:val="21"/>
                <w:szCs w:val="21"/>
              </w:rPr>
              <w:t>以上指标不适用于合格性判别，仅供参考。</w:t>
            </w:r>
          </w:p>
          <w:p w14:paraId="4214698F">
            <w:pPr>
              <w:ind w:firstLine="420" w:firstLineChars="200"/>
              <w:jc w:val="center"/>
              <w:rPr>
                <w:rFonts w:hint="default" w:ascii="宋体" w:hAnsi="宋体" w:eastAsia="宋体" w:cs="Calibri"/>
                <w:sz w:val="21"/>
                <w:szCs w:val="21"/>
                <w:lang w:val="en-US" w:eastAsia="zh-CN"/>
              </w:rPr>
            </w:pPr>
            <w:r>
              <w:rPr>
                <w:rFonts w:hint="eastAsia" w:ascii="宋体" w:hAnsi="宋体" w:cs="Calibri"/>
                <w:sz w:val="21"/>
                <w:szCs w:val="21"/>
              </w:rPr>
              <w:t>2 I类仪器为具有吸光度显示功能的仪器，Ⅱ类仪器为仅具有浓度显示功能的仪器。Ⅲ类仪器为需参照本规范进行校准的其它比色分析法原理的食品安全快速检测仪。</w:t>
            </w:r>
          </w:p>
        </w:tc>
      </w:tr>
    </w:tbl>
    <w:p w14:paraId="2FE0A0D5">
      <w:pPr>
        <w:spacing w:line="360" w:lineRule="auto"/>
        <w:ind w:firstLine="240" w:firstLineChars="100"/>
        <w:rPr>
          <w:rFonts w:hint="eastAsia"/>
          <w:sz w:val="24"/>
          <w:lang w:val="en-US" w:eastAsia="zh-CN"/>
        </w:rPr>
      </w:pPr>
      <w:r>
        <w:rPr>
          <w:rFonts w:hint="eastAsia"/>
          <w:sz w:val="24"/>
          <w:lang w:val="en-US" w:eastAsia="zh-CN"/>
        </w:rPr>
        <w:t>（2）校准条件</w:t>
      </w:r>
    </w:p>
    <w:p w14:paraId="5226A00F">
      <w:pPr>
        <w:spacing w:line="360" w:lineRule="auto"/>
        <w:ind w:firstLine="360" w:firstLineChars="150"/>
        <w:rPr>
          <w:rFonts w:hint="eastAsia"/>
          <w:sz w:val="24"/>
        </w:rPr>
      </w:pPr>
      <w:r>
        <w:rPr>
          <w:rFonts w:hint="eastAsia"/>
          <w:sz w:val="24"/>
        </w:rPr>
        <w:t>环境条件：</w:t>
      </w:r>
      <w:r>
        <w:rPr>
          <w:rFonts w:hint="eastAsia"/>
          <w:sz w:val="24"/>
          <w:lang w:val="en-US" w:eastAsia="zh-CN"/>
        </w:rPr>
        <w:t>（10～35）℃，相对湿度：不大于85%。</w:t>
      </w:r>
    </w:p>
    <w:p w14:paraId="11F923CB">
      <w:pPr>
        <w:spacing w:line="360" w:lineRule="auto"/>
        <w:ind w:firstLine="360" w:firstLineChars="150"/>
        <w:rPr>
          <w:rFonts w:hint="eastAsia"/>
          <w:sz w:val="24"/>
        </w:rPr>
      </w:pPr>
      <w:r>
        <w:rPr>
          <w:rFonts w:hint="eastAsia"/>
          <w:sz w:val="24"/>
        </w:rPr>
        <w:t>校准用计量器具及配套设备：</w:t>
      </w:r>
    </w:p>
    <w:p w14:paraId="6979F8A5">
      <w:pPr>
        <w:spacing w:line="360" w:lineRule="auto"/>
        <w:ind w:firstLine="360" w:firstLineChars="150"/>
        <w:rPr>
          <w:rFonts w:hint="eastAsia"/>
          <w:sz w:val="24"/>
          <w:lang w:val="en-US" w:eastAsia="zh-CN"/>
        </w:rPr>
      </w:pPr>
      <w:r>
        <w:rPr>
          <w:rFonts w:hint="eastAsia"/>
          <w:sz w:val="24"/>
          <w:lang w:val="en-US" w:eastAsia="zh-CN"/>
        </w:rPr>
        <w:t>光谱检测仪：波长范围（340～800）nm，最大允许误差±1 nm；</w:t>
      </w:r>
    </w:p>
    <w:p w14:paraId="538BAC34">
      <w:pPr>
        <w:spacing w:line="360" w:lineRule="auto"/>
        <w:ind w:firstLine="360" w:firstLineChars="150"/>
        <w:rPr>
          <w:rFonts w:hint="eastAsia"/>
          <w:sz w:val="24"/>
          <w:lang w:val="en-US" w:eastAsia="zh-CN"/>
        </w:rPr>
      </w:pPr>
      <w:r>
        <w:rPr>
          <w:rFonts w:hint="eastAsia"/>
          <w:sz w:val="24"/>
          <w:lang w:val="en-US" w:eastAsia="zh-CN"/>
        </w:rPr>
        <w:t>分光光度计：波长范围（340～800）nm，I级；</w:t>
      </w:r>
    </w:p>
    <w:p w14:paraId="4DFD4F5F">
      <w:pPr>
        <w:spacing w:line="360" w:lineRule="auto"/>
        <w:ind w:firstLine="360" w:firstLineChars="150"/>
        <w:rPr>
          <w:rFonts w:hint="eastAsia"/>
          <w:sz w:val="24"/>
          <w:lang w:val="en-US" w:eastAsia="zh-CN"/>
        </w:rPr>
      </w:pPr>
      <w:r>
        <w:rPr>
          <w:rFonts w:hint="eastAsia"/>
          <w:sz w:val="24"/>
          <w:lang w:val="en-US" w:eastAsia="zh-CN"/>
        </w:rPr>
        <w:t>光谱中性滤光片：吸光度范围0.2～1.5，不确定度</w:t>
      </w:r>
      <w:r>
        <w:rPr>
          <w:rFonts w:hint="eastAsia"/>
          <w:i/>
          <w:iCs/>
          <w:sz w:val="24"/>
          <w:lang w:val="en-US" w:eastAsia="zh-CN"/>
        </w:rPr>
        <w:t>U</w:t>
      </w:r>
      <w:r>
        <w:rPr>
          <w:rFonts w:hint="eastAsia"/>
          <w:sz w:val="24"/>
          <w:lang w:val="en-US" w:eastAsia="zh-CN"/>
        </w:rPr>
        <w:t>=0.010，k=2；</w:t>
      </w:r>
    </w:p>
    <w:p w14:paraId="49C2A998">
      <w:pPr>
        <w:spacing w:line="360" w:lineRule="auto"/>
        <w:ind w:firstLine="360" w:firstLineChars="150"/>
        <w:rPr>
          <w:rFonts w:hint="eastAsia"/>
          <w:sz w:val="24"/>
          <w:lang w:val="en-US" w:eastAsia="zh-CN"/>
        </w:rPr>
      </w:pPr>
      <w:r>
        <w:rPr>
          <w:rFonts w:hint="eastAsia"/>
          <w:sz w:val="24"/>
          <w:lang w:val="en-US" w:eastAsia="zh-CN"/>
        </w:rPr>
        <w:t>甲醛溶液标准物质：相对扩展不确定度不大于3%；</w:t>
      </w:r>
    </w:p>
    <w:p w14:paraId="7469F8B6">
      <w:pPr>
        <w:spacing w:line="360" w:lineRule="auto"/>
        <w:ind w:left="599" w:leftChars="228" w:hanging="120" w:hangingChars="50"/>
        <w:rPr>
          <w:rFonts w:hint="eastAsia"/>
          <w:sz w:val="24"/>
          <w:lang w:val="en-US" w:eastAsia="zh-CN"/>
        </w:rPr>
      </w:pPr>
      <w:r>
        <w:rPr>
          <w:rFonts w:hint="eastAsia"/>
          <w:sz w:val="24"/>
          <w:lang w:val="en-US" w:eastAsia="zh-CN"/>
        </w:rPr>
        <w:t>氯化钴溶液标准物质： 浓度范围（2.0～10.0）g/L，相对扩展不确定度不大于1.5%。</w:t>
      </w:r>
    </w:p>
    <w:p w14:paraId="31C5E5D2">
      <w:pPr>
        <w:spacing w:line="360" w:lineRule="auto"/>
        <w:ind w:firstLine="360" w:firstLineChars="150"/>
        <w:rPr>
          <w:rFonts w:hint="eastAsia"/>
          <w:sz w:val="24"/>
        </w:rPr>
      </w:pPr>
      <w:r>
        <w:rPr>
          <w:rFonts w:hint="eastAsia"/>
          <w:sz w:val="24"/>
          <w:lang w:val="en-US" w:eastAsia="zh-CN"/>
        </w:rPr>
        <w:t>（3）校准项目和校准方法（</w:t>
      </w:r>
      <w:r>
        <w:rPr>
          <w:rFonts w:hint="eastAsia"/>
          <w:sz w:val="24"/>
        </w:rPr>
        <w:t>波长示值误差</w:t>
      </w:r>
      <w:r>
        <w:rPr>
          <w:rFonts w:hint="eastAsia"/>
          <w:sz w:val="24"/>
          <w:lang w:val="en-US" w:eastAsia="zh-CN"/>
        </w:rPr>
        <w:t>、</w:t>
      </w:r>
      <w:r>
        <w:rPr>
          <w:rFonts w:hint="eastAsia"/>
          <w:sz w:val="24"/>
        </w:rPr>
        <w:t>仪器示值误差</w:t>
      </w:r>
      <w:r>
        <w:rPr>
          <w:rFonts w:hint="eastAsia"/>
          <w:sz w:val="24"/>
          <w:lang w:eastAsia="zh-CN"/>
        </w:rPr>
        <w:t>、</w:t>
      </w:r>
      <w:r>
        <w:rPr>
          <w:rFonts w:hint="eastAsia"/>
          <w:sz w:val="24"/>
        </w:rPr>
        <w:t>仪器重复性</w:t>
      </w:r>
      <w:r>
        <w:rPr>
          <w:rFonts w:hint="eastAsia"/>
          <w:sz w:val="24"/>
          <w:lang w:eastAsia="zh-CN"/>
        </w:rPr>
        <w:t>、</w:t>
      </w:r>
      <w:r>
        <w:rPr>
          <w:rFonts w:hint="eastAsia"/>
          <w:sz w:val="24"/>
          <w:lang w:val="en-US" w:eastAsia="zh-CN"/>
        </w:rPr>
        <w:t>稳定性、通道间差异、</w:t>
      </w:r>
      <w:r>
        <w:rPr>
          <w:rFonts w:hint="eastAsia"/>
          <w:sz w:val="24"/>
        </w:rPr>
        <w:t>仪器线性</w:t>
      </w:r>
      <w:r>
        <w:rPr>
          <w:rFonts w:hint="eastAsia"/>
          <w:sz w:val="24"/>
          <w:lang w:val="en-US" w:eastAsia="zh-CN"/>
        </w:rPr>
        <w:t>）。</w:t>
      </w:r>
    </w:p>
    <w:p w14:paraId="62F1AC74">
      <w:pPr>
        <w:spacing w:line="360" w:lineRule="auto"/>
        <w:ind w:firstLine="360" w:firstLineChars="150"/>
        <w:rPr>
          <w:rFonts w:hint="eastAsia"/>
          <w:sz w:val="24"/>
        </w:rPr>
      </w:pPr>
    </w:p>
    <w:sectPr>
      <w:headerReference r:id="rId3" w:type="default"/>
      <w:footerReference r:id="rId4" w:type="even"/>
      <w:pgSz w:w="11906" w:h="16838"/>
      <w:pgMar w:top="1440" w:right="1800" w:bottom="1440" w:left="1800"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87B1">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1CBD63E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459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7A1B"/>
    <w:rsid w:val="00007BC0"/>
    <w:rsid w:val="0001152E"/>
    <w:rsid w:val="00012787"/>
    <w:rsid w:val="00022FCA"/>
    <w:rsid w:val="0005001E"/>
    <w:rsid w:val="00080BC7"/>
    <w:rsid w:val="000A4FF3"/>
    <w:rsid w:val="000B774F"/>
    <w:rsid w:val="000C6DD1"/>
    <w:rsid w:val="000D47D2"/>
    <w:rsid w:val="00100615"/>
    <w:rsid w:val="001271AD"/>
    <w:rsid w:val="00141568"/>
    <w:rsid w:val="00145010"/>
    <w:rsid w:val="001606ED"/>
    <w:rsid w:val="00161C14"/>
    <w:rsid w:val="0018695E"/>
    <w:rsid w:val="001E218D"/>
    <w:rsid w:val="001F7D4A"/>
    <w:rsid w:val="00202C98"/>
    <w:rsid w:val="002127FE"/>
    <w:rsid w:val="00222403"/>
    <w:rsid w:val="00230178"/>
    <w:rsid w:val="00230957"/>
    <w:rsid w:val="00240094"/>
    <w:rsid w:val="00241061"/>
    <w:rsid w:val="00242C70"/>
    <w:rsid w:val="002846D4"/>
    <w:rsid w:val="002A066C"/>
    <w:rsid w:val="002A2CFB"/>
    <w:rsid w:val="002C0065"/>
    <w:rsid w:val="003015CF"/>
    <w:rsid w:val="0030714D"/>
    <w:rsid w:val="00327800"/>
    <w:rsid w:val="003317D4"/>
    <w:rsid w:val="00351003"/>
    <w:rsid w:val="00381C8E"/>
    <w:rsid w:val="00382354"/>
    <w:rsid w:val="0038343D"/>
    <w:rsid w:val="003A7CD2"/>
    <w:rsid w:val="003C1840"/>
    <w:rsid w:val="003E4104"/>
    <w:rsid w:val="003E5DFF"/>
    <w:rsid w:val="003E6E76"/>
    <w:rsid w:val="004461B6"/>
    <w:rsid w:val="004502FC"/>
    <w:rsid w:val="00464260"/>
    <w:rsid w:val="00485FC4"/>
    <w:rsid w:val="004B0098"/>
    <w:rsid w:val="004E6217"/>
    <w:rsid w:val="005006A5"/>
    <w:rsid w:val="00533D8E"/>
    <w:rsid w:val="005400D1"/>
    <w:rsid w:val="00547A1B"/>
    <w:rsid w:val="00551D10"/>
    <w:rsid w:val="005B359C"/>
    <w:rsid w:val="005D7A80"/>
    <w:rsid w:val="005E1859"/>
    <w:rsid w:val="00602E4F"/>
    <w:rsid w:val="00610041"/>
    <w:rsid w:val="0061164A"/>
    <w:rsid w:val="00647C50"/>
    <w:rsid w:val="00684713"/>
    <w:rsid w:val="00687A3B"/>
    <w:rsid w:val="006D59C6"/>
    <w:rsid w:val="006E4CF1"/>
    <w:rsid w:val="006F6F0D"/>
    <w:rsid w:val="00722FD0"/>
    <w:rsid w:val="0072364E"/>
    <w:rsid w:val="00746B87"/>
    <w:rsid w:val="00757726"/>
    <w:rsid w:val="007746AB"/>
    <w:rsid w:val="0077759C"/>
    <w:rsid w:val="007C3229"/>
    <w:rsid w:val="007D0CC4"/>
    <w:rsid w:val="007D2C4F"/>
    <w:rsid w:val="007F78C8"/>
    <w:rsid w:val="008055BF"/>
    <w:rsid w:val="00830E56"/>
    <w:rsid w:val="00846193"/>
    <w:rsid w:val="0084778F"/>
    <w:rsid w:val="00855259"/>
    <w:rsid w:val="008729DE"/>
    <w:rsid w:val="00923F16"/>
    <w:rsid w:val="00934B8B"/>
    <w:rsid w:val="00936A7E"/>
    <w:rsid w:val="0095580D"/>
    <w:rsid w:val="00960602"/>
    <w:rsid w:val="0098741F"/>
    <w:rsid w:val="00996BCD"/>
    <w:rsid w:val="009A1DAF"/>
    <w:rsid w:val="009B2C5F"/>
    <w:rsid w:val="009B5D03"/>
    <w:rsid w:val="009D7692"/>
    <w:rsid w:val="00A15953"/>
    <w:rsid w:val="00A422A5"/>
    <w:rsid w:val="00A45BA4"/>
    <w:rsid w:val="00A757BA"/>
    <w:rsid w:val="00AC134D"/>
    <w:rsid w:val="00AC14BD"/>
    <w:rsid w:val="00AD7BDF"/>
    <w:rsid w:val="00BA5200"/>
    <w:rsid w:val="00BB3137"/>
    <w:rsid w:val="00BC20BA"/>
    <w:rsid w:val="00BD6E71"/>
    <w:rsid w:val="00BE19AE"/>
    <w:rsid w:val="00C06927"/>
    <w:rsid w:val="00C157FA"/>
    <w:rsid w:val="00C34617"/>
    <w:rsid w:val="00C35D4E"/>
    <w:rsid w:val="00C3761D"/>
    <w:rsid w:val="00C95AAB"/>
    <w:rsid w:val="00CF4B10"/>
    <w:rsid w:val="00D06379"/>
    <w:rsid w:val="00D06C92"/>
    <w:rsid w:val="00D24AAC"/>
    <w:rsid w:val="00D33351"/>
    <w:rsid w:val="00D3468D"/>
    <w:rsid w:val="00D515DE"/>
    <w:rsid w:val="00D56AD0"/>
    <w:rsid w:val="00D61323"/>
    <w:rsid w:val="00D63E98"/>
    <w:rsid w:val="00DD127F"/>
    <w:rsid w:val="00DE77B5"/>
    <w:rsid w:val="00DF463B"/>
    <w:rsid w:val="00DF4C1A"/>
    <w:rsid w:val="00DF6A5A"/>
    <w:rsid w:val="00E01EC3"/>
    <w:rsid w:val="00E02D63"/>
    <w:rsid w:val="00E161FF"/>
    <w:rsid w:val="00E7101D"/>
    <w:rsid w:val="00E9246F"/>
    <w:rsid w:val="00EA125D"/>
    <w:rsid w:val="00EB6B3E"/>
    <w:rsid w:val="00EC69FA"/>
    <w:rsid w:val="00ED6655"/>
    <w:rsid w:val="00EF0490"/>
    <w:rsid w:val="00EF4AD7"/>
    <w:rsid w:val="00F22D8D"/>
    <w:rsid w:val="00F2386B"/>
    <w:rsid w:val="00F3218E"/>
    <w:rsid w:val="00F40708"/>
    <w:rsid w:val="00F40B52"/>
    <w:rsid w:val="00F430E7"/>
    <w:rsid w:val="00F80556"/>
    <w:rsid w:val="00FA309B"/>
    <w:rsid w:val="00FB7E77"/>
    <w:rsid w:val="00FC27F6"/>
    <w:rsid w:val="00FD37EC"/>
    <w:rsid w:val="00FD6666"/>
    <w:rsid w:val="00FE3893"/>
    <w:rsid w:val="07EE2AB2"/>
    <w:rsid w:val="086329D2"/>
    <w:rsid w:val="0B0046D7"/>
    <w:rsid w:val="0B856C50"/>
    <w:rsid w:val="0D39366A"/>
    <w:rsid w:val="1266403E"/>
    <w:rsid w:val="16C23769"/>
    <w:rsid w:val="1786036D"/>
    <w:rsid w:val="18675577"/>
    <w:rsid w:val="18923817"/>
    <w:rsid w:val="197131A1"/>
    <w:rsid w:val="1C057BD0"/>
    <w:rsid w:val="1CB22514"/>
    <w:rsid w:val="1EF21908"/>
    <w:rsid w:val="209A1BE5"/>
    <w:rsid w:val="21AB2AAF"/>
    <w:rsid w:val="22615C73"/>
    <w:rsid w:val="22DB16CB"/>
    <w:rsid w:val="22EB09E2"/>
    <w:rsid w:val="23FB1456"/>
    <w:rsid w:val="24041683"/>
    <w:rsid w:val="24176BB1"/>
    <w:rsid w:val="241A0087"/>
    <w:rsid w:val="246C15B9"/>
    <w:rsid w:val="24A517AF"/>
    <w:rsid w:val="26D0702D"/>
    <w:rsid w:val="2AC714DB"/>
    <w:rsid w:val="2BAF63C7"/>
    <w:rsid w:val="2CE85C10"/>
    <w:rsid w:val="30E3145B"/>
    <w:rsid w:val="325165E6"/>
    <w:rsid w:val="32FC2912"/>
    <w:rsid w:val="38E26DA6"/>
    <w:rsid w:val="393B560D"/>
    <w:rsid w:val="395F6E49"/>
    <w:rsid w:val="3A120A17"/>
    <w:rsid w:val="3AE40D94"/>
    <w:rsid w:val="3B195EB7"/>
    <w:rsid w:val="3C7F0953"/>
    <w:rsid w:val="3D442EFD"/>
    <w:rsid w:val="3E0131F9"/>
    <w:rsid w:val="3F2D58A6"/>
    <w:rsid w:val="44C27217"/>
    <w:rsid w:val="45D11161"/>
    <w:rsid w:val="46220C85"/>
    <w:rsid w:val="489E517F"/>
    <w:rsid w:val="496C56C1"/>
    <w:rsid w:val="49BF2CE4"/>
    <w:rsid w:val="4D636BC0"/>
    <w:rsid w:val="4DC8041F"/>
    <w:rsid w:val="50FB2D75"/>
    <w:rsid w:val="53156963"/>
    <w:rsid w:val="532A1529"/>
    <w:rsid w:val="55BD48B2"/>
    <w:rsid w:val="56A247A5"/>
    <w:rsid w:val="5A9B6038"/>
    <w:rsid w:val="5BD74A87"/>
    <w:rsid w:val="5C7B6FEB"/>
    <w:rsid w:val="5C823821"/>
    <w:rsid w:val="5EB8792B"/>
    <w:rsid w:val="5EBD78BB"/>
    <w:rsid w:val="5EE20E4A"/>
    <w:rsid w:val="5F6F1E07"/>
    <w:rsid w:val="613F2B32"/>
    <w:rsid w:val="64313639"/>
    <w:rsid w:val="66290AAD"/>
    <w:rsid w:val="6AAB327F"/>
    <w:rsid w:val="6D5E3B76"/>
    <w:rsid w:val="6DB75052"/>
    <w:rsid w:val="733B31B5"/>
    <w:rsid w:val="73AC14FA"/>
    <w:rsid w:val="73F0584B"/>
    <w:rsid w:val="744F3616"/>
    <w:rsid w:val="74672B58"/>
    <w:rsid w:val="76394E40"/>
    <w:rsid w:val="76421B4C"/>
    <w:rsid w:val="76FF564E"/>
    <w:rsid w:val="77F77BE5"/>
    <w:rsid w:val="79306C64"/>
    <w:rsid w:val="79BF2E7F"/>
    <w:rsid w:val="7BBC70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spacing w:line="320" w:lineRule="exact"/>
    </w:pPr>
    <w:rPr>
      <w:rFonts w:ascii="宋体" w:hAnsi="宋体"/>
      <w:sz w:val="24"/>
    </w:rPr>
  </w:style>
  <w:style w:type="paragraph" w:styleId="3">
    <w:name w:val="Body Text Indent"/>
    <w:basedOn w:val="1"/>
    <w:qFormat/>
    <w:uiPriority w:val="0"/>
    <w:pPr>
      <w:ind w:firstLine="648" w:firstLineChars="200"/>
    </w:pPr>
    <w:rPr>
      <w:rFonts w:eastAsia="仿宋_GB2312"/>
      <w:spacing w:val="12"/>
      <w:sz w:val="30"/>
    </w:rPr>
  </w:style>
  <w:style w:type="paragraph" w:styleId="4">
    <w:name w:val="Plain Text"/>
    <w:basedOn w:val="1"/>
    <w:link w:val="17"/>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qFormat/>
    <w:uiPriority w:val="99"/>
    <w:rPr>
      <w:rFonts w:cs="Times New Roman"/>
    </w:rPr>
  </w:style>
  <w:style w:type="character" w:styleId="13">
    <w:name w:val="Hyperlink"/>
    <w:basedOn w:val="11"/>
    <w:semiHidden/>
    <w:unhideWhenUsed/>
    <w:qFormat/>
    <w:uiPriority w:val="99"/>
    <w:rPr>
      <w:color w:val="0000FF"/>
      <w:u w:val="single"/>
    </w:rPr>
  </w:style>
  <w:style w:type="character" w:customStyle="1" w:styleId="14">
    <w:name w:val="页脚 字符"/>
    <w:link w:val="5"/>
    <w:qFormat/>
    <w:locked/>
    <w:uiPriority w:val="99"/>
    <w:rPr>
      <w:rFonts w:ascii="Times New Roman" w:hAnsi="Times New Roman" w:eastAsia="宋体" w:cs="Times New Roman"/>
      <w:sz w:val="18"/>
      <w:szCs w:val="18"/>
    </w:rPr>
  </w:style>
  <w:style w:type="character" w:customStyle="1" w:styleId="15">
    <w:name w:val="页眉 字符"/>
    <w:link w:val="6"/>
    <w:qFormat/>
    <w:locked/>
    <w:uiPriority w:val="99"/>
    <w:rPr>
      <w:rFonts w:ascii="Times New Roman" w:hAnsi="Times New Roman" w:eastAsia="宋体" w:cs="Times New Roman"/>
      <w:sz w:val="18"/>
      <w:szCs w:val="18"/>
    </w:rPr>
  </w:style>
  <w:style w:type="character" w:customStyle="1" w:styleId="16">
    <w:name w:val="正文文本 字符"/>
    <w:link w:val="2"/>
    <w:qFormat/>
    <w:locked/>
    <w:uiPriority w:val="99"/>
    <w:rPr>
      <w:rFonts w:ascii="宋体" w:hAnsi="宋体" w:eastAsia="宋体" w:cs="Times New Roman"/>
      <w:sz w:val="24"/>
      <w:szCs w:val="24"/>
    </w:rPr>
  </w:style>
  <w:style w:type="character" w:customStyle="1" w:styleId="17">
    <w:name w:val="纯文本 字符"/>
    <w:link w:val="4"/>
    <w:qFormat/>
    <w:locked/>
    <w:uiPriority w:val="99"/>
    <w:rPr>
      <w:rFonts w:ascii="宋体" w:hAnsi="Courier New" w:eastAsia="宋体" w:cs="Courier New"/>
      <w:sz w:val="21"/>
      <w:szCs w:val="21"/>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2274</Words>
  <Characters>2445</Characters>
  <Lines>14</Lines>
  <Paragraphs>4</Paragraphs>
  <TotalTime>4</TotalTime>
  <ScaleCrop>false</ScaleCrop>
  <LinksUpToDate>false</LinksUpToDate>
  <CharactersWithSpaces>2463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2015-07-30T03:31:00Z</dcterms:created>
  <dc:creator>Microsoft</dc:creator>
  <cp:lastModifiedBy>袁</cp:lastModifiedBy>
  <dcterms:modified xsi:type="dcterms:W3CDTF">2025-10-17T07:04:38Z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eyJoZGlkIjoiOTc0MDU0MWE3MjQ3NmUxNDdhYmYzODhiNTE2Yzg1NmEiLCJ1c2VySWQiOiI0NDk0NzEwNzAifQ==</vt:lpwstr>
  </property>
  <property fmtid="{D5CDD505-2E9C-101B-9397-08002B2CF9AE}" pid="4" name="ICV">
    <vt:lpwstr>CC3E2FB3212649799EB40FE25344B112_12</vt:lpwstr>
  </property>
</Properties>
</file>