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653E7">
      <w:pPr>
        <w:ind w:firstLine="420" w:firstLineChars="0"/>
        <w:jc w:val="center"/>
        <w:rPr>
          <w:rFonts w:hint="eastAsia" w:eastAsia="方正宋黑简体"/>
          <w:sz w:val="48"/>
          <w:szCs w:val="48"/>
        </w:rPr>
      </w:pPr>
    </w:p>
    <w:p w14:paraId="3178955F">
      <w:pPr>
        <w:jc w:val="center"/>
        <w:rPr>
          <w:rFonts w:hint="eastAsia" w:eastAsia="方正宋黑简体"/>
          <w:sz w:val="48"/>
          <w:szCs w:val="48"/>
        </w:rPr>
      </w:pPr>
    </w:p>
    <w:p w14:paraId="7467B586">
      <w:pPr>
        <w:jc w:val="center"/>
        <w:rPr>
          <w:rFonts w:hint="eastAsia" w:eastAsia="方正宋黑简体"/>
          <w:sz w:val="48"/>
          <w:szCs w:val="48"/>
        </w:rPr>
      </w:pPr>
    </w:p>
    <w:p w14:paraId="563D4C29">
      <w:pPr>
        <w:jc w:val="center"/>
        <w:rPr>
          <w:rFonts w:hint="eastAsia" w:eastAsia="方正宋黑简体"/>
          <w:sz w:val="48"/>
          <w:szCs w:val="48"/>
        </w:rPr>
      </w:pPr>
    </w:p>
    <w:p w14:paraId="3DF512BD">
      <w:pPr>
        <w:jc w:val="center"/>
        <w:rPr>
          <w:rFonts w:hint="eastAsia" w:eastAsia="方正宋黑简体"/>
          <w:sz w:val="48"/>
          <w:szCs w:val="48"/>
        </w:rPr>
      </w:pPr>
      <w:r>
        <w:rPr>
          <w:rFonts w:hint="eastAsia" w:eastAsia="方正宋黑简体"/>
          <w:sz w:val="48"/>
          <w:szCs w:val="48"/>
        </w:rPr>
        <w:t>《</w:t>
      </w:r>
      <w:r>
        <w:rPr>
          <w:rFonts w:hint="eastAsia" w:eastAsia="方正宋黑简体"/>
          <w:sz w:val="48"/>
          <w:szCs w:val="48"/>
          <w:lang w:val="en-US" w:eastAsia="zh-CN"/>
        </w:rPr>
        <w:t>配电自动化终端测试仪校准规范</w:t>
      </w:r>
      <w:r>
        <w:rPr>
          <w:rFonts w:hint="eastAsia" w:eastAsia="方正宋黑简体"/>
          <w:sz w:val="48"/>
          <w:szCs w:val="48"/>
        </w:rPr>
        <w:t>》</w:t>
      </w:r>
    </w:p>
    <w:p w14:paraId="3858ACCD">
      <w:pPr>
        <w:jc w:val="center"/>
        <w:rPr>
          <w:rFonts w:eastAsia="方正宋黑简体"/>
          <w:sz w:val="48"/>
          <w:szCs w:val="48"/>
        </w:rPr>
      </w:pPr>
      <w:r>
        <w:rPr>
          <w:rFonts w:hint="eastAsia"/>
          <w:sz w:val="48"/>
          <w:szCs w:val="48"/>
          <w:lang w:eastAsia="zh-CN"/>
        </w:rPr>
        <w:t>编制</w:t>
      </w:r>
      <w:r>
        <w:rPr>
          <w:rFonts w:hint="eastAsia"/>
          <w:sz w:val="48"/>
          <w:szCs w:val="48"/>
        </w:rPr>
        <w:t>说明</w:t>
      </w:r>
    </w:p>
    <w:p w14:paraId="503845D5"/>
    <w:p w14:paraId="100FAA63"/>
    <w:p w14:paraId="0E19DF69"/>
    <w:p w14:paraId="31C37CDC"/>
    <w:p w14:paraId="677BB4BD"/>
    <w:p w14:paraId="60250904"/>
    <w:p w14:paraId="0C23B5D1"/>
    <w:p w14:paraId="5EC97525"/>
    <w:p w14:paraId="03F12BA7"/>
    <w:p w14:paraId="11F5F139">
      <w:pPr>
        <w:rPr>
          <w:rFonts w:hint="eastAsia"/>
          <w:lang w:val="en-US" w:eastAsia="zh-CN"/>
        </w:rPr>
      </w:pPr>
      <w:r>
        <w:rPr>
          <w:rFonts w:hint="eastAsia"/>
          <w:lang w:val="en-US" w:eastAsia="zh-CN"/>
        </w:rPr>
        <w:t xml:space="preserve">    </w:t>
      </w:r>
    </w:p>
    <w:p w14:paraId="4AD156C1">
      <w:pPr>
        <w:rPr>
          <w:rFonts w:hint="eastAsia"/>
          <w:lang w:val="en-US" w:eastAsia="zh-CN"/>
        </w:rPr>
      </w:pPr>
    </w:p>
    <w:p w14:paraId="1656173F">
      <w:pPr>
        <w:rPr>
          <w:rFonts w:hint="eastAsia"/>
          <w:lang w:val="en-US" w:eastAsia="zh-CN"/>
        </w:rPr>
      </w:pPr>
    </w:p>
    <w:p w14:paraId="6F2E9936">
      <w:pPr>
        <w:rPr>
          <w:rFonts w:hint="eastAsia"/>
          <w:lang w:val="en-US" w:eastAsia="zh-CN"/>
        </w:rPr>
      </w:pPr>
    </w:p>
    <w:p w14:paraId="72EBFE05">
      <w:pPr>
        <w:rPr>
          <w:rFonts w:hint="eastAsia"/>
          <w:lang w:val="en-US" w:eastAsia="zh-CN"/>
        </w:rPr>
      </w:pPr>
    </w:p>
    <w:p w14:paraId="3E81559B">
      <w:pPr>
        <w:rPr>
          <w:rFonts w:hint="eastAsia"/>
          <w:lang w:val="en-US" w:eastAsia="zh-CN"/>
        </w:rPr>
      </w:pPr>
    </w:p>
    <w:p w14:paraId="3812469E">
      <w:pPr>
        <w:rPr>
          <w:rFonts w:hint="eastAsia"/>
          <w:lang w:val="en-US" w:eastAsia="zh-CN"/>
        </w:rPr>
      </w:pPr>
    </w:p>
    <w:p w14:paraId="3E629DC5">
      <w:pPr>
        <w:rPr>
          <w:rFonts w:hint="eastAsia"/>
          <w:lang w:val="en-US" w:eastAsia="zh-CN"/>
        </w:rPr>
      </w:pPr>
    </w:p>
    <w:p w14:paraId="0D9DCC37">
      <w:pPr>
        <w:rPr>
          <w:rFonts w:hint="eastAsia"/>
          <w:lang w:val="en-US" w:eastAsia="zh-CN"/>
        </w:rPr>
      </w:pPr>
    </w:p>
    <w:p w14:paraId="4596924F">
      <w:pPr>
        <w:rPr>
          <w:rFonts w:hint="eastAsia"/>
          <w:lang w:val="en-US" w:eastAsia="zh-CN"/>
        </w:rPr>
      </w:pPr>
    </w:p>
    <w:p w14:paraId="4916D9C0">
      <w:pPr>
        <w:rPr>
          <w:rFonts w:hint="default"/>
          <w:lang w:val="en-US" w:eastAsia="zh-CN"/>
        </w:rPr>
      </w:pPr>
    </w:p>
    <w:p w14:paraId="5FF24CBE"/>
    <w:p w14:paraId="21B3228C"/>
    <w:p w14:paraId="106D770F">
      <w:pPr>
        <w:jc w:val="center"/>
        <w:rPr>
          <w:rFonts w:hint="eastAsia"/>
          <w:sz w:val="28"/>
        </w:rPr>
      </w:pPr>
      <w:r>
        <w:rPr>
          <w:rFonts w:hint="eastAsia"/>
          <w:sz w:val="28"/>
        </w:rPr>
        <w:t>河南省计量测试科学研究院</w:t>
      </w:r>
    </w:p>
    <w:p w14:paraId="6C614386">
      <w:pPr>
        <w:jc w:val="center"/>
        <w:rPr>
          <w:sz w:val="28"/>
        </w:rPr>
      </w:pPr>
      <w:r>
        <w:rPr>
          <w:rFonts w:hint="eastAsia"/>
          <w:sz w:val="28"/>
        </w:rPr>
        <w:t>20</w:t>
      </w:r>
      <w:r>
        <w:rPr>
          <w:rFonts w:hint="eastAsia"/>
          <w:sz w:val="28"/>
          <w:lang w:val="en-US" w:eastAsia="zh-CN"/>
        </w:rPr>
        <w:t>26</w:t>
      </w:r>
      <w:r>
        <w:rPr>
          <w:rFonts w:hint="eastAsia"/>
          <w:sz w:val="28"/>
        </w:rPr>
        <w:t>年</w:t>
      </w:r>
      <w:r>
        <w:rPr>
          <w:rFonts w:hint="eastAsia"/>
          <w:sz w:val="28"/>
          <w:lang w:val="en-US" w:eastAsia="zh-CN"/>
        </w:rPr>
        <w:t>2</w:t>
      </w:r>
      <w:r>
        <w:rPr>
          <w:rFonts w:hint="eastAsia"/>
          <w:sz w:val="28"/>
        </w:rPr>
        <w:t>月</w:t>
      </w:r>
    </w:p>
    <w:p w14:paraId="23D3C89F">
      <w:r>
        <w:br w:type="page"/>
      </w:r>
      <w:bookmarkStart w:id="1" w:name="_GoBack"/>
      <w:bookmarkEnd w:id="1"/>
    </w:p>
    <w:p w14:paraId="74EEFCC8">
      <w:pPr>
        <w:jc w:val="center"/>
        <w:rPr>
          <w:rFonts w:hint="eastAsia"/>
          <w:b/>
          <w:bCs/>
          <w:sz w:val="32"/>
        </w:rPr>
      </w:pPr>
      <w:r>
        <w:rPr>
          <w:rFonts w:hint="eastAsia"/>
          <w:b/>
          <w:bCs/>
          <w:sz w:val="32"/>
        </w:rPr>
        <w:t>《</w:t>
      </w:r>
      <w:r>
        <w:rPr>
          <w:rFonts w:hint="eastAsia"/>
          <w:b/>
          <w:bCs/>
          <w:sz w:val="32"/>
          <w:lang w:val="en-US" w:eastAsia="zh-CN"/>
        </w:rPr>
        <w:t>配电自动化终端测试仪校准规范</w:t>
      </w:r>
      <w:r>
        <w:rPr>
          <w:rFonts w:hint="eastAsia"/>
          <w:b/>
          <w:bCs/>
          <w:sz w:val="32"/>
        </w:rPr>
        <w:t>》</w:t>
      </w:r>
    </w:p>
    <w:p w14:paraId="268C5DE9">
      <w:pPr>
        <w:spacing w:line="500" w:lineRule="atLeast"/>
        <w:jc w:val="center"/>
        <w:rPr>
          <w:sz w:val="32"/>
        </w:rPr>
      </w:pPr>
      <w:r>
        <w:rPr>
          <w:rFonts w:hint="eastAsia"/>
          <w:b/>
          <w:bCs/>
          <w:sz w:val="32"/>
        </w:rPr>
        <w:t>编</w:t>
      </w:r>
      <w:r>
        <w:rPr>
          <w:rFonts w:hint="eastAsia"/>
          <w:b/>
          <w:bCs/>
          <w:sz w:val="32"/>
          <w:lang w:eastAsia="zh-CN"/>
        </w:rPr>
        <w:t>制</w:t>
      </w:r>
      <w:r>
        <w:rPr>
          <w:rFonts w:hint="eastAsia"/>
          <w:b/>
          <w:bCs/>
          <w:sz w:val="32"/>
        </w:rPr>
        <w:t>说明</w:t>
      </w:r>
    </w:p>
    <w:p w14:paraId="7925E70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eastAsia="黑体"/>
          <w:sz w:val="28"/>
          <w:szCs w:val="28"/>
        </w:rPr>
      </w:pPr>
      <w:r>
        <w:rPr>
          <w:rFonts w:hint="eastAsia" w:ascii="黑体" w:eastAsia="黑体"/>
          <w:sz w:val="28"/>
          <w:szCs w:val="28"/>
        </w:rPr>
        <w:t>一、任务来源</w:t>
      </w:r>
    </w:p>
    <w:p w14:paraId="15D7E6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根</w:t>
      </w:r>
      <w:r>
        <w:rPr>
          <w:rFonts w:hint="eastAsia" w:ascii="仿宋_GB2312" w:hAnsi="仿宋_GB2312" w:eastAsia="仿宋_GB2312" w:cs="仿宋_GB2312"/>
          <w:sz w:val="24"/>
          <w:szCs w:val="24"/>
          <w:lang w:val="en-US" w:eastAsia="zh-CN"/>
        </w:rPr>
        <w:t>据</w:t>
      </w:r>
      <w:r>
        <w:rPr>
          <w:rFonts w:hint="eastAsia" w:ascii="仿宋_GB2312" w:hAnsi="仿宋_GB2312" w:eastAsia="仿宋_GB2312" w:cs="仿宋_GB2312"/>
          <w:sz w:val="24"/>
          <w:szCs w:val="24"/>
        </w:rPr>
        <w:t>河南省市场监督管理局印发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年度河南省地方计量技术法规制定（修订）计划项目的通知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color w:val="000000"/>
          <w:sz w:val="24"/>
          <w:szCs w:val="24"/>
        </w:rPr>
        <w:t>，由</w:t>
      </w:r>
      <w:r>
        <w:rPr>
          <w:rFonts w:hint="eastAsia" w:ascii="仿宋_GB2312" w:hAnsi="仿宋_GB2312" w:eastAsia="仿宋_GB2312" w:cs="仿宋_GB2312"/>
          <w:color w:val="000000"/>
          <w:sz w:val="24"/>
          <w:szCs w:val="24"/>
          <w:lang w:val="en-US" w:eastAsia="zh-CN"/>
        </w:rPr>
        <w:t>河南省计量测试科学研究院</w:t>
      </w:r>
      <w:r>
        <w:rPr>
          <w:rFonts w:hint="eastAsia" w:ascii="仿宋_GB2312" w:hAnsi="仿宋_GB2312" w:eastAsia="仿宋_GB2312" w:cs="仿宋_GB2312"/>
          <w:color w:val="000000"/>
          <w:sz w:val="24"/>
          <w:szCs w:val="24"/>
        </w:rPr>
        <w:t>负责《</w:t>
      </w:r>
      <w:r>
        <w:rPr>
          <w:rFonts w:hint="eastAsia" w:ascii="仿宋_GB2312" w:hAnsi="仿宋_GB2312" w:eastAsia="仿宋_GB2312" w:cs="仿宋_GB2312"/>
          <w:color w:val="000000"/>
          <w:sz w:val="24"/>
          <w:szCs w:val="24"/>
          <w:lang w:val="en-US" w:eastAsia="zh-CN"/>
        </w:rPr>
        <w:t>配电自动化终端测试仪校准规范</w:t>
      </w:r>
      <w:r>
        <w:rPr>
          <w:rFonts w:hint="eastAsia" w:ascii="仿宋_GB2312" w:hAnsi="仿宋_GB2312" w:eastAsia="仿宋_GB2312" w:cs="仿宋_GB2312"/>
          <w:color w:val="000000"/>
          <w:sz w:val="24"/>
          <w:szCs w:val="24"/>
        </w:rPr>
        <w:t>》的起草</w:t>
      </w:r>
      <w:r>
        <w:rPr>
          <w:rFonts w:hint="eastAsia" w:ascii="仿宋_GB2312" w:hAnsi="仿宋_GB2312" w:eastAsia="仿宋_GB2312" w:cs="仿宋_GB2312"/>
          <w:sz w:val="24"/>
          <w:szCs w:val="24"/>
        </w:rPr>
        <w:t>工作。本规范由河南省电学与电力计量技术委员会归口管理。</w:t>
      </w:r>
    </w:p>
    <w:p w14:paraId="56589E4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Chars="0"/>
        <w:textAlignment w:val="auto"/>
        <w:rPr>
          <w:rFonts w:hint="eastAsia" w:ascii="黑体" w:eastAsia="黑体"/>
          <w:sz w:val="24"/>
          <w:szCs w:val="24"/>
        </w:rPr>
      </w:pPr>
      <w:r>
        <w:rPr>
          <w:rFonts w:hint="eastAsia" w:eastAsia="黑体"/>
          <w:sz w:val="24"/>
          <w:szCs w:val="24"/>
          <w:lang w:val="en-US" w:eastAsia="zh-CN"/>
        </w:rPr>
        <w:t>规范</w:t>
      </w:r>
      <w:r>
        <w:rPr>
          <w:rFonts w:eastAsia="黑体"/>
          <w:sz w:val="24"/>
          <w:szCs w:val="24"/>
        </w:rPr>
        <w:t>起草的背景及必要性</w:t>
      </w:r>
    </w:p>
    <w:p w14:paraId="1522B22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241" w:firstLineChars="100"/>
        <w:textAlignment w:val="auto"/>
        <w:rPr>
          <w:rFonts w:hint="eastAsia" w:ascii="宋体" w:hAnsi="宋体" w:eastAsia="宋体" w:cs="宋体"/>
          <w:b/>
          <w:bCs/>
          <w:i w:val="0"/>
          <w:iCs w:val="0"/>
          <w:caps w:val="0"/>
          <w:color w:val="000000"/>
          <w:spacing w:val="0"/>
          <w:sz w:val="24"/>
          <w:szCs w:val="24"/>
        </w:rPr>
      </w:pPr>
      <w:bookmarkStart w:id="0" w:name="_Toc367864647"/>
      <w:r>
        <w:rPr>
          <w:rFonts w:hint="eastAsia" w:ascii="宋体" w:hAnsi="宋体" w:eastAsia="宋体" w:cs="宋体"/>
          <w:b/>
          <w:bCs/>
          <w:i w:val="0"/>
          <w:iCs w:val="0"/>
          <w:caps w:val="0"/>
          <w:color w:val="000000"/>
          <w:spacing w:val="0"/>
          <w:sz w:val="24"/>
          <w:szCs w:val="24"/>
        </w:rPr>
        <w:t>2.1 配电自动化终端测试仪的应用背景</w:t>
      </w:r>
    </w:p>
    <w:p w14:paraId="602FB2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配电自动化终端（如</w:t>
      </w:r>
      <w:r>
        <w:rPr>
          <w:rFonts w:hint="eastAsia" w:ascii="仿宋_GB2312" w:hAnsi="仿宋_GB2312" w:eastAsia="仿宋_GB2312" w:cs="仿宋_GB2312"/>
          <w:color w:val="000000"/>
          <w:sz w:val="24"/>
          <w:szCs w:val="24"/>
          <w:lang w:val="en-US" w:eastAsia="zh-CN"/>
        </w:rPr>
        <w:t>F</w:t>
      </w:r>
      <w:r>
        <w:rPr>
          <w:rFonts w:hint="eastAsia" w:ascii="仿宋_GB2312" w:hAnsi="仿宋_GB2312" w:eastAsia="仿宋_GB2312" w:cs="仿宋_GB2312"/>
          <w:color w:val="000000"/>
          <w:sz w:val="24"/>
          <w:szCs w:val="24"/>
        </w:rPr>
        <w:t>TU、DTU、TTU，即馈线终端、站所终端、配变终端）是智能配电网的核心设备，其性能直接关系到电网运行的安全性与可靠性。配电终端具备实时监测与预警、远程控制与管理、故障定位与恢复等特性，应用愈发广泛。大量配电自动化终端的投入使用，对提高供电可靠性和供电质量意义重大。随着河南省配电网自动化率朝着2025年90%以上的目标不断提升，配电自动化终端的广泛应用对测试设备的校准提出了更高要求。</w:t>
      </w:r>
    </w:p>
    <w:p w14:paraId="769DFE47">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配电自动化终端测试仪是专门用于测试配电自动化终端性能和功能的设备，在配电自动化系统的建设和维护中发挥着关键作用。它的校准规范制定，对保障配电网的安全运行和智能化发展至关重要。配电终端在配电网中作用关键，对其功能特性进行安全可靠的检测十分必要。由于配电终端应用数量庞大、安装分布广泛，给入网检测和现场运维工作带来极大挑战。而配电自动化终端测试仪的使用具有多方面积极意义，比如提高配电系统稳定性与可靠性、优化运行效率、降低运维成本、增强安全性以及推动智能化发展，所以该测试仪的使用越来越普遍。</w:t>
      </w:r>
    </w:p>
    <w:p w14:paraId="2355301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241" w:firstLineChars="10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2.2 制定校准规范的现实需求</w:t>
      </w:r>
    </w:p>
    <w:p w14:paraId="3CF1F9B1">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国内，已有众多厂家生产配电自动化终端测试仪相关产品，在电网系统、电力工程单位及配电终端生产企业中的使用量日益增大。然而，国内尚未出台针对配电自动化终端测试仪的校准规范，相关技术要求分散在DL/T 2178-2020《配电自动化终端试验装置技术条件》和DL/T 1529-2016《配电自动化终端设备检测规程》等行业标准中。这些标准虽然对测试仪的技术条件作出了规定，但缺乏统一的校准方法和计量特性要求，导致各计量技术机构在开展校准时方法不一、结果可比性差。</w:t>
      </w:r>
    </w:p>
    <w:p w14:paraId="383CDFFD">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目前，国家尚无校准配电自动化终端测试仪的相关检定规程或校准规范。因此，研究配电自动化终端测试仪的溯源方法，制定相关技术规范，确保此类设备的量值统一且能有效溯源，具有重要意义。</w:t>
      </w:r>
    </w:p>
    <w:p w14:paraId="4DB25C1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241" w:firstLineChars="10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2.3 国内外技术现状</w:t>
      </w:r>
    </w:p>
    <w:p w14:paraId="512685C1">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国际上，配电自动化终端测试仪的校准规范处于起步阶段。国际电工委员会（IEC）发布的IEC 61850系列标准涉及智能电网设备通信协议，但校准方法未细化。欧美国家通过行业联盟（如EPRI）制定测试指南，却未形成强制性技术规范。</w:t>
      </w:r>
    </w:p>
    <w:p w14:paraId="769D8F60">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随着智能电网、数字化电网建设的推进，配电自动化终端测试仪的功能和性能不断提升，未来将朝着更加智能化、精细化、全面化的方向发展，支持远程校准、数据自动分析，以适应智能电网实时监测需求。</w:t>
      </w:r>
    </w:p>
    <w:p w14:paraId="5A3715A5">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国内，配电自动化终端测试仪有较多的生产厂家，许多企业和研究机构致力于研发和生产这类设备，国内生产企业主要包括北京博电新力电气（市场份额25%）、永程科技（18%）、武汉豪迈电力（15%）、国电南瑞、许继电气等。国外主要有西门子、ABB等公司。</w:t>
      </w:r>
    </w:p>
    <w:p w14:paraId="54F7059A">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配电自动化终端测试仪分为便携式测试仪和实验室用测试平台。在国内配电网自动化系统的建设与维护中需求旺盛，尤其在河南省的配电网改造中应用广泛，主要用于电网公司（如国网河南电力）、新能源电站（光伏/风电）的设备验收与运维，还被广泛应用于电科院、供电局、电力工程单位的入网检测、调试验收、现场运维工作，以及配电自动化终端生产企业的终端出厂检测与技术研发等</w:t>
      </w:r>
    </w:p>
    <w:p w14:paraId="3AAE779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eastAsia="黑体"/>
          <w:sz w:val="28"/>
          <w:szCs w:val="28"/>
          <w:lang w:val="en-US" w:eastAsia="zh-CN"/>
        </w:rPr>
      </w:pPr>
      <w:r>
        <w:rPr>
          <w:rFonts w:hint="eastAsia" w:eastAsia="黑体"/>
          <w:sz w:val="28"/>
          <w:szCs w:val="28"/>
          <w:lang w:val="en-US" w:eastAsia="zh-CN"/>
        </w:rPr>
        <w:t>编制主要</w:t>
      </w:r>
      <w:bookmarkEnd w:id="0"/>
      <w:r>
        <w:rPr>
          <w:rFonts w:hint="eastAsia" w:eastAsia="黑体"/>
          <w:sz w:val="28"/>
          <w:szCs w:val="28"/>
          <w:lang w:val="en-US" w:eastAsia="zh-CN"/>
        </w:rPr>
        <w:t>原则及主要技术依据</w:t>
      </w:r>
    </w:p>
    <w:p w14:paraId="0E8180D8">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241" w:firstLineChars="10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3.1 制定原则</w:t>
      </w:r>
    </w:p>
    <w:p w14:paraId="381814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本规范的编写严格遵循国家相关法律法规、计量技术规范、国家标准及行业相关技术要求，确保规范的合法性、科学性和适用性。</w:t>
      </w:r>
    </w:p>
    <w:p w14:paraId="5194575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规范格式主要参考JJF 1071-2010《国家计量校准规范编写规则》，严格按照该规则的要求确定本规范的结构、表述方式、技术内容编排等，确保规范的格式规范、逻辑清晰、用词准确。</w:t>
      </w:r>
    </w:p>
    <w:p w14:paraId="2862941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本规范在编写过程中，结合我国配电自动化终端测试仪的生产、使用和校准实践，参考配电自动化终端测试仪生产企业的产品技术说明书、行业相关产品标准，明确测试仪的计量特性、工作条件等基础信息，确保校准要求与产品实际使用需求相匹配，提升规范的实用性，充分考虑不同型号、不同规格测试仪的共性和个性特点，确保规范的可操作性，同时参考地方计量校准规范管理办法中关于规范编制的相关要求，确保规范编制的严谨性和规范性。</w:t>
      </w:r>
    </w:p>
    <w:p w14:paraId="051386F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241" w:firstLineChars="100"/>
        <w:jc w:val="both"/>
        <w:textAlignment w:val="auto"/>
        <w:rPr>
          <w:rFonts w:hint="eastAsia" w:ascii="仿宋_GB2312" w:hAnsi="仿宋_GB2312" w:eastAsia="仿宋_GB2312" w:cs="仿宋_GB2312"/>
          <w:b/>
          <w:bCs/>
          <w:color w:val="000000"/>
          <w:sz w:val="24"/>
          <w:szCs w:val="24"/>
          <w:lang w:val="en-US" w:eastAsia="zh-CN"/>
        </w:rPr>
      </w:pPr>
      <w:r>
        <w:rPr>
          <w:rFonts w:hint="eastAsia" w:ascii="宋体" w:hAnsi="宋体" w:eastAsia="宋体" w:cs="宋体"/>
          <w:b/>
          <w:bCs/>
          <w:i w:val="0"/>
          <w:iCs w:val="0"/>
          <w:caps w:val="0"/>
          <w:color w:val="000000"/>
          <w:spacing w:val="0"/>
          <w:sz w:val="24"/>
          <w:szCs w:val="24"/>
        </w:rPr>
        <w:t>3.</w:t>
      </w:r>
      <w:r>
        <w:rPr>
          <w:rFonts w:hint="eastAsia" w:ascii="宋体" w:hAnsi="宋体" w:cs="宋体"/>
          <w:b/>
          <w:bCs/>
          <w:i w:val="0"/>
          <w:iCs w:val="0"/>
          <w:caps w:val="0"/>
          <w:color w:val="000000"/>
          <w:spacing w:val="0"/>
          <w:sz w:val="24"/>
          <w:szCs w:val="24"/>
          <w:lang w:val="en-US" w:eastAsia="zh-CN"/>
        </w:rPr>
        <w:t>2</w:t>
      </w:r>
      <w:r>
        <w:rPr>
          <w:rFonts w:hint="eastAsia" w:ascii="仿宋_GB2312" w:hAnsi="仿宋_GB2312" w:eastAsia="仿宋_GB2312" w:cs="仿宋_GB2312"/>
          <w:b/>
          <w:bCs/>
          <w:color w:val="000000"/>
          <w:sz w:val="24"/>
          <w:szCs w:val="24"/>
          <w:lang w:val="en-US" w:eastAsia="zh-CN"/>
        </w:rPr>
        <w:t>主要技术依据</w:t>
      </w:r>
    </w:p>
    <w:p w14:paraId="1DE35785">
      <w:pPr>
        <w:pStyle w:val="9"/>
        <w:keepNext w:val="0"/>
        <w:keepLines w:val="0"/>
        <w:widowControl/>
        <w:suppressLineNumbers w:val="0"/>
        <w:spacing w:before="0" w:beforeAutospacing="0" w:after="0" w:afterAutospacing="0"/>
        <w:ind w:left="0" w:right="0" w:firstLine="42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本规范起草的主要技术依据：</w:t>
      </w:r>
    </w:p>
    <w:p w14:paraId="6EFA095E">
      <w:pPr>
        <w:pStyle w:val="9"/>
        <w:keepNext w:val="0"/>
        <w:keepLines w:val="0"/>
        <w:widowControl/>
        <w:suppressLineNumbers w:val="0"/>
        <w:spacing w:before="0" w:beforeAutospacing="0" w:after="0" w:afterAutospacing="0"/>
        <w:ind w:left="0" w:right="0" w:firstLine="42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JJG 1112-2015《继电保护测试仪校准规程》</w:t>
      </w:r>
    </w:p>
    <w:p w14:paraId="3CA729DD">
      <w:pPr>
        <w:pStyle w:val="9"/>
        <w:keepNext w:val="0"/>
        <w:keepLines w:val="0"/>
        <w:widowControl/>
        <w:suppressLineNumbers w:val="0"/>
        <w:spacing w:before="0" w:beforeAutospacing="0" w:after="0" w:afterAutospacing="0"/>
        <w:ind w:left="0" w:right="0" w:firstLine="42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JJF 1667-2017《工频谐波测量仪器校准规范》</w:t>
      </w:r>
    </w:p>
    <w:p w14:paraId="5CCCAD42">
      <w:pPr>
        <w:pStyle w:val="9"/>
        <w:keepNext w:val="0"/>
        <w:keepLines w:val="0"/>
        <w:widowControl/>
        <w:suppressLineNumbers w:val="0"/>
        <w:spacing w:before="0" w:beforeAutospacing="0" w:after="0" w:afterAutospacing="0"/>
        <w:ind w:left="0" w:right="0" w:firstLine="42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JJF</w:t>
      </w:r>
      <w:r>
        <w:rPr>
          <w:rFonts w:hint="eastAsia" w:ascii="仿宋_GB2312" w:hAnsi="仿宋_GB2312" w:eastAsia="仿宋_GB2312" w:cs="仿宋_GB2312"/>
          <w:color w:val="000000"/>
          <w:kern w:val="2"/>
          <w:sz w:val="24"/>
          <w:szCs w:val="24"/>
          <w:lang w:val="en-US" w:eastAsia="zh-CN" w:bidi="ar-SA"/>
        </w:rPr>
        <w:t xml:space="preserve"> 1923-2021《电测量仪表校验装置校准规范》</w:t>
      </w:r>
    </w:p>
    <w:p w14:paraId="3518BEF4">
      <w:pPr>
        <w:pStyle w:val="9"/>
        <w:keepNext w:val="0"/>
        <w:keepLines w:val="0"/>
        <w:widowControl/>
        <w:suppressLineNumbers w:val="0"/>
        <w:spacing w:before="0" w:beforeAutospacing="0" w:after="0" w:afterAutospacing="0"/>
        <w:ind w:left="0" w:right="0" w:firstLine="42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DL/T 2178-2020《配电自动化终端试验装置技术条件》</w:t>
      </w:r>
    </w:p>
    <w:p w14:paraId="2F2E2ACE">
      <w:pPr>
        <w:pStyle w:val="9"/>
        <w:keepNext w:val="0"/>
        <w:keepLines w:val="0"/>
        <w:widowControl/>
        <w:suppressLineNumbers w:val="0"/>
        <w:spacing w:before="0" w:beforeAutospacing="0" w:after="0" w:afterAutospacing="0"/>
        <w:ind w:left="0" w:right="0" w:firstLine="42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2"/>
          <w:sz w:val="24"/>
          <w:szCs w:val="24"/>
          <w:lang w:val="en-US" w:eastAsia="zh-CN" w:bidi="ar-SA"/>
        </w:rPr>
        <w:t>DL/T 2367-2021《配电自动化终端自动检测系统技术规范》</w:t>
      </w:r>
    </w:p>
    <w:p w14:paraId="286F5C08">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Chars="0"/>
        <w:textAlignment w:val="auto"/>
        <w:rPr>
          <w:rFonts w:hint="eastAsia" w:ascii="仿宋_GB2312" w:hAnsi="仿宋_GB2312" w:eastAsia="仿宋_GB2312" w:cs="仿宋_GB2312"/>
          <w:b w:val="0"/>
          <w:bCs w:val="0"/>
          <w:color w:val="auto"/>
          <w:sz w:val="28"/>
          <w:szCs w:val="28"/>
          <w:shd w:val="clear" w:color="auto" w:fill="FFFFFF"/>
          <w:lang w:val="en-US" w:eastAsia="zh-CN"/>
        </w:rPr>
      </w:pPr>
      <w:r>
        <w:rPr>
          <w:rFonts w:hint="eastAsia" w:ascii="黑体" w:eastAsia="黑体"/>
          <w:b w:val="0"/>
          <w:bCs w:val="0"/>
          <w:sz w:val="28"/>
          <w:szCs w:val="28"/>
          <w:lang w:val="en-US" w:eastAsia="zh-CN"/>
        </w:rPr>
        <w:t>规范起草的</w:t>
      </w:r>
      <w:r>
        <w:rPr>
          <w:rFonts w:hint="eastAsia" w:ascii="黑体" w:eastAsia="黑体"/>
          <w:b w:val="0"/>
          <w:bCs w:val="0"/>
          <w:sz w:val="28"/>
          <w:szCs w:val="28"/>
        </w:rPr>
        <w:t>过程</w:t>
      </w:r>
    </w:p>
    <w:p w14:paraId="6C657AF7">
      <w:pPr>
        <w:pStyle w:val="9"/>
        <w:keepNext w:val="0"/>
        <w:keepLines w:val="0"/>
        <w:widowControl/>
        <w:suppressLineNumbers w:val="0"/>
        <w:spacing w:before="0" w:beforeAutospacing="0" w:after="0" w:afterAutospacing="0"/>
        <w:ind w:left="0" w:right="0" w:firstLine="42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2025年4月—8月，调研生产厂家、使用单位、技术机构，编写初稿。</w:t>
      </w:r>
    </w:p>
    <w:p w14:paraId="4188B7E1">
      <w:pPr>
        <w:pStyle w:val="9"/>
        <w:keepNext w:val="0"/>
        <w:keepLines w:val="0"/>
        <w:widowControl/>
        <w:suppressLineNumbers w:val="0"/>
        <w:spacing w:before="0" w:beforeAutospacing="0" w:after="0" w:afterAutospacing="0"/>
        <w:ind w:left="0" w:right="0" w:firstLine="42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2025年8月—12月，进行测试实验，验证计量性能的科学性与合理性，并对初稿进行修改，完成不确定度评定报告。</w:t>
      </w:r>
    </w:p>
    <w:p w14:paraId="316E20C9">
      <w:pPr>
        <w:pStyle w:val="9"/>
        <w:keepNext w:val="0"/>
        <w:keepLines w:val="0"/>
        <w:widowControl/>
        <w:suppressLineNumbers w:val="0"/>
        <w:spacing w:before="0" w:beforeAutospacing="0" w:after="0" w:afterAutospacing="0"/>
        <w:ind w:left="0" w:right="0" w:firstLine="42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2026年2月，形成规范征求意见稿，并发送给省内有关检验检测机构、使用单位等行业专家征求意见。</w:t>
      </w:r>
    </w:p>
    <w:p w14:paraId="74645F63">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Chars="0"/>
        <w:textAlignment w:val="auto"/>
        <w:rPr>
          <w:rFonts w:hint="eastAsia" w:ascii="黑体" w:eastAsia="黑体"/>
          <w:sz w:val="28"/>
          <w:szCs w:val="28"/>
          <w:lang w:eastAsia="zh-CN"/>
        </w:rPr>
      </w:pPr>
      <w:r>
        <w:rPr>
          <w:rFonts w:hint="eastAsia" w:ascii="黑体" w:eastAsia="黑体"/>
          <w:sz w:val="28"/>
          <w:szCs w:val="28"/>
          <w:lang w:val="en-US" w:eastAsia="zh-CN"/>
        </w:rPr>
        <w:t>规范的要点及说明</w:t>
      </w:r>
    </w:p>
    <w:p w14:paraId="789E6C5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6.1 适用范围</w:t>
      </w:r>
    </w:p>
    <w:p w14:paraId="0B15D3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本规范适用于配电自动化终端测试仪的校准。测试仪包括配电自动化终端检测平台、配电自动化终端测试装置以及用于对配电自动化终端（如站所终端DTU、馈线终端FTU、配电变压器终端TTU等）进行功能测试和性能校验的专用仪器设备。</w:t>
      </w:r>
    </w:p>
    <w:p w14:paraId="328C679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本规范涵盖的测试仪主要功能包括：交流电流输出、交流电压输出、直流电流输出、直流电压输出、频率输出、相位控制、功率输出、谐波输出、时间测量以及同步性测试等。</w:t>
      </w:r>
    </w:p>
    <w:p w14:paraId="05CC624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6.2 计量特性</w:t>
      </w:r>
    </w:p>
    <w:p w14:paraId="314E5A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本规范对配电自动化终端测试仪的计量特性进行了全面规定，主要包括以下内容：</w:t>
      </w:r>
    </w:p>
    <w:p w14:paraId="469CD50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6.2.1 交流电流输出</w:t>
      </w:r>
    </w:p>
    <w:p w14:paraId="10E0E60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b/>
          <w:bCs/>
          <w:i w:val="0"/>
          <w:iCs w:val="0"/>
          <w:caps w:val="0"/>
          <w:color w:val="000000"/>
          <w:spacing w:val="0"/>
          <w:sz w:val="24"/>
          <w:szCs w:val="24"/>
          <w:lang w:val="en-US" w:eastAsia="zh-CN"/>
        </w:rPr>
        <w:t>（</w:t>
      </w:r>
      <w:r>
        <w:rPr>
          <w:rFonts w:hint="eastAsia" w:ascii="宋体" w:hAnsi="宋体" w:eastAsia="宋体" w:cs="宋体"/>
          <w:b/>
          <w:bCs/>
          <w:i w:val="0"/>
          <w:iCs w:val="0"/>
          <w:caps w:val="0"/>
          <w:color w:val="000000"/>
          <w:spacing w:val="0"/>
          <w:sz w:val="24"/>
          <w:szCs w:val="24"/>
          <w:lang w:val="en-US" w:eastAsia="zh-CN"/>
        </w:rPr>
        <w:t>1）交流电流输出示值误差：</w:t>
      </w:r>
      <w:r>
        <w:rPr>
          <w:rFonts w:hint="eastAsia" w:ascii="仿宋_GB2312" w:hAnsi="仿宋_GB2312" w:eastAsia="仿宋_GB2312" w:cs="仿宋_GB2312"/>
          <w:color w:val="000000"/>
          <w:kern w:val="2"/>
          <w:sz w:val="24"/>
          <w:szCs w:val="24"/>
          <w:lang w:val="en-US" w:eastAsia="zh-CN" w:bidi="ar-SA"/>
        </w:rPr>
        <w:t>测试仪的基本电流</w:t>
      </w:r>
      <w:r>
        <w:rPr>
          <w:rFonts w:hint="eastAsia" w:ascii="仿宋_GB2312" w:hAnsi="仿宋_GB2312" w:eastAsia="仿宋_GB2312" w:cs="仿宋_GB2312"/>
          <w:i/>
          <w:iCs/>
          <w:color w:val="000000"/>
          <w:kern w:val="2"/>
          <w:sz w:val="24"/>
          <w:szCs w:val="24"/>
          <w:lang w:val="en-US" w:eastAsia="zh-CN" w:bidi="ar-SA"/>
        </w:rPr>
        <w:t>I</w:t>
      </w:r>
      <w:r>
        <w:rPr>
          <w:rFonts w:hint="eastAsia" w:ascii="仿宋_GB2312" w:hAnsi="仿宋_GB2312" w:eastAsia="仿宋_GB2312" w:cs="仿宋_GB2312"/>
          <w:color w:val="000000"/>
          <w:kern w:val="2"/>
          <w:sz w:val="24"/>
          <w:szCs w:val="24"/>
          <w:vertAlign w:val="subscript"/>
          <w:lang w:val="en-US" w:eastAsia="zh-CN" w:bidi="ar-SA"/>
        </w:rPr>
        <w:t>N</w:t>
      </w:r>
      <w:r>
        <w:rPr>
          <w:rFonts w:hint="eastAsia" w:ascii="仿宋_GB2312" w:hAnsi="仿宋_GB2312" w:eastAsia="仿宋_GB2312" w:cs="仿宋_GB2312"/>
          <w:color w:val="000000"/>
          <w:kern w:val="2"/>
          <w:sz w:val="24"/>
          <w:szCs w:val="24"/>
          <w:lang w:val="en-US" w:eastAsia="zh-CN" w:bidi="ar-SA"/>
        </w:rPr>
        <w:t>分为1A或5A。</w:t>
      </w:r>
      <w:r>
        <w:rPr>
          <w:rFonts w:hint="eastAsia" w:ascii="仿宋_GB2312" w:hAnsi="仿宋_GB2312" w:eastAsia="仿宋_GB2312" w:cs="仿宋_GB2312"/>
          <w:i/>
          <w:iCs/>
          <w:color w:val="000000"/>
          <w:kern w:val="2"/>
          <w:sz w:val="24"/>
          <w:szCs w:val="24"/>
          <w:lang w:val="en-US" w:eastAsia="zh-CN" w:bidi="ar-SA"/>
        </w:rPr>
        <w:t>I</w:t>
      </w:r>
      <w:r>
        <w:rPr>
          <w:rFonts w:hint="eastAsia" w:ascii="仿宋_GB2312" w:hAnsi="仿宋_GB2312" w:eastAsia="仿宋_GB2312" w:cs="仿宋_GB2312"/>
          <w:color w:val="000000"/>
          <w:kern w:val="2"/>
          <w:sz w:val="24"/>
          <w:szCs w:val="24"/>
          <w:vertAlign w:val="subscript"/>
          <w:lang w:val="en-US" w:eastAsia="zh-CN" w:bidi="ar-SA"/>
        </w:rPr>
        <w:t>N</w:t>
      </w:r>
      <w:r>
        <w:rPr>
          <w:rFonts w:hint="eastAsia" w:ascii="仿宋_GB2312" w:hAnsi="仿宋_GB2312" w:eastAsia="仿宋_GB2312" w:cs="仿宋_GB2312"/>
          <w:color w:val="000000"/>
          <w:kern w:val="2"/>
          <w:sz w:val="24"/>
          <w:szCs w:val="24"/>
          <w:lang w:val="en-US" w:eastAsia="zh-CN" w:bidi="ar-SA"/>
        </w:rPr>
        <w:t>=1A时每路电流输出的最大电流有效值</w:t>
      </w:r>
      <w:r>
        <w:rPr>
          <w:rFonts w:hint="eastAsia" w:ascii="仿宋_GB2312" w:hAnsi="仿宋_GB2312" w:eastAsia="仿宋_GB2312" w:cs="仿宋_GB2312"/>
          <w:i/>
          <w:iCs/>
          <w:color w:val="000000"/>
          <w:kern w:val="2"/>
          <w:sz w:val="24"/>
          <w:szCs w:val="24"/>
          <w:lang w:val="en-US" w:eastAsia="zh-CN" w:bidi="ar-SA"/>
        </w:rPr>
        <w:t>I</w:t>
      </w:r>
      <w:r>
        <w:rPr>
          <w:rFonts w:hint="eastAsia" w:ascii="仿宋_GB2312" w:hAnsi="仿宋_GB2312" w:eastAsia="仿宋_GB2312" w:cs="仿宋_GB2312"/>
          <w:color w:val="000000"/>
          <w:kern w:val="2"/>
          <w:sz w:val="24"/>
          <w:szCs w:val="24"/>
          <w:vertAlign w:val="subscript"/>
          <w:lang w:val="en-US" w:eastAsia="zh-CN" w:bidi="ar-SA"/>
        </w:rPr>
        <w:t>max</w:t>
      </w:r>
      <w:r>
        <w:rPr>
          <w:rFonts w:hint="eastAsia" w:ascii="仿宋_GB2312" w:hAnsi="仿宋_GB2312" w:eastAsia="仿宋_GB2312" w:cs="仿宋_GB2312"/>
          <w:color w:val="000000"/>
          <w:kern w:val="2"/>
          <w:sz w:val="24"/>
          <w:szCs w:val="24"/>
          <w:lang w:val="en-US" w:eastAsia="zh-CN" w:bidi="ar-SA"/>
        </w:rPr>
        <w:t>≥6A；IN=5A时，每路电流输出的最大电流有效值</w:t>
      </w:r>
      <w:r>
        <w:rPr>
          <w:rFonts w:hint="eastAsia" w:ascii="仿宋_GB2312" w:hAnsi="仿宋_GB2312" w:eastAsia="仿宋_GB2312" w:cs="仿宋_GB2312"/>
          <w:i/>
          <w:iCs/>
          <w:color w:val="000000"/>
          <w:kern w:val="2"/>
          <w:sz w:val="24"/>
          <w:szCs w:val="24"/>
          <w:lang w:val="en-US" w:eastAsia="zh-CN" w:bidi="ar-SA"/>
        </w:rPr>
        <w:t>I</w:t>
      </w:r>
      <w:r>
        <w:rPr>
          <w:rFonts w:hint="eastAsia" w:ascii="仿宋_GB2312" w:hAnsi="仿宋_GB2312" w:eastAsia="仿宋_GB2312" w:cs="仿宋_GB2312"/>
          <w:color w:val="000000"/>
          <w:kern w:val="2"/>
          <w:sz w:val="24"/>
          <w:szCs w:val="24"/>
          <w:vertAlign w:val="subscript"/>
          <w:lang w:val="en-US" w:eastAsia="zh-CN" w:bidi="ar-SA"/>
        </w:rPr>
        <w:t>max</w:t>
      </w:r>
      <w:r>
        <w:rPr>
          <w:rFonts w:hint="eastAsia" w:ascii="仿宋_GB2312" w:hAnsi="仿宋_GB2312" w:eastAsia="仿宋_GB2312" w:cs="仿宋_GB2312"/>
          <w:color w:val="000000"/>
          <w:kern w:val="2"/>
          <w:sz w:val="24"/>
          <w:szCs w:val="24"/>
          <w:lang w:val="en-US" w:eastAsia="zh-CN" w:bidi="ar-SA"/>
        </w:rPr>
        <w:t>≥30A。各频率下，每相输出电流的最大允许误差如表1所示。</w:t>
      </w:r>
    </w:p>
    <w:p w14:paraId="3461B380">
      <w:pPr>
        <w:snapToGrid w:val="0"/>
        <w:spacing w:before="156" w:beforeLines="50" w:line="360" w:lineRule="auto"/>
        <w:jc w:val="center"/>
        <w:rPr>
          <w:rFonts w:hint="default" w:ascii="黑体" w:hAnsi="宋体" w:eastAsia="黑体"/>
          <w:bCs/>
          <w:color w:val="auto"/>
          <w:szCs w:val="21"/>
          <w:lang w:val="en-US" w:eastAsia="zh-CN"/>
        </w:rPr>
      </w:pPr>
      <w:r>
        <w:rPr>
          <w:rFonts w:hint="eastAsia" w:ascii="黑体" w:hAnsi="宋体" w:eastAsia="黑体"/>
          <w:bCs/>
          <w:color w:val="auto"/>
          <w:szCs w:val="21"/>
        </w:rPr>
        <w:t xml:space="preserve">表1  </w:t>
      </w:r>
      <w:r>
        <w:rPr>
          <w:rFonts w:hint="eastAsia" w:ascii="黑体" w:hAnsi="宋体" w:eastAsia="黑体"/>
          <w:bCs/>
          <w:color w:val="auto"/>
          <w:szCs w:val="21"/>
          <w:lang w:val="en-US" w:eastAsia="zh-CN"/>
        </w:rPr>
        <w:t>交流</w:t>
      </w:r>
      <w:r>
        <w:rPr>
          <w:rFonts w:hint="eastAsia" w:ascii="黑体" w:hAnsi="宋体" w:eastAsia="黑体"/>
          <w:bCs/>
          <w:color w:val="auto"/>
          <w:szCs w:val="21"/>
        </w:rPr>
        <w:t>电流输出幅值</w:t>
      </w:r>
      <w:r>
        <w:rPr>
          <w:rFonts w:hint="eastAsia" w:ascii="黑体" w:hAnsi="宋体" w:eastAsia="黑体"/>
          <w:bCs/>
          <w:color w:val="auto"/>
          <w:szCs w:val="21"/>
          <w:lang w:val="en-US" w:eastAsia="zh-CN"/>
        </w:rPr>
        <w:t>和频率最大允许</w:t>
      </w:r>
      <w:r>
        <w:rPr>
          <w:rFonts w:hint="eastAsia" w:ascii="黑体" w:hAnsi="宋体" w:eastAsia="黑体"/>
          <w:color w:val="auto"/>
          <w:szCs w:val="21"/>
        </w:rPr>
        <w:t>误差</w:t>
      </w:r>
    </w:p>
    <w:tbl>
      <w:tblPr>
        <w:tblStyle w:val="10"/>
        <w:tblW w:w="83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1283"/>
        <w:gridCol w:w="1427"/>
        <w:gridCol w:w="1823"/>
        <w:gridCol w:w="1661"/>
      </w:tblGrid>
      <w:tr w14:paraId="19FE9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vMerge w:val="restart"/>
            <w:tcBorders>
              <w:tl2br w:val="nil"/>
              <w:tr2bl w:val="nil"/>
            </w:tcBorders>
            <w:noWrap w:val="0"/>
            <w:vAlign w:val="center"/>
          </w:tcPr>
          <w:p w14:paraId="2E396752">
            <w:pPr>
              <w:jc w:val="center"/>
              <w:rPr>
                <w:rFonts w:hint="eastAsia" w:ascii="宋体" w:hAnsi="宋体"/>
                <w:color w:val="auto"/>
                <w:szCs w:val="21"/>
              </w:rPr>
            </w:pPr>
            <w:r>
              <w:rPr>
                <w:rFonts w:hint="eastAsia" w:ascii="宋体" w:hAnsi="宋体"/>
                <w:color w:val="auto"/>
                <w:szCs w:val="21"/>
              </w:rPr>
              <w:t>电流源</w:t>
            </w:r>
          </w:p>
          <w:p w14:paraId="6FFD2FA4">
            <w:pPr>
              <w:jc w:val="center"/>
              <w:rPr>
                <w:rFonts w:ascii="宋体" w:hAnsi="宋体"/>
                <w:color w:val="auto"/>
                <w:szCs w:val="21"/>
                <w:vertAlign w:val="subscript"/>
              </w:rPr>
            </w:pPr>
            <w:r>
              <w:rPr>
                <w:rFonts w:hint="eastAsia" w:ascii="宋体" w:hAnsi="宋体"/>
                <w:color w:val="auto"/>
                <w:szCs w:val="21"/>
              </w:rPr>
              <w:t>输出频率</w:t>
            </w:r>
          </w:p>
        </w:tc>
        <w:tc>
          <w:tcPr>
            <w:tcW w:w="6194" w:type="dxa"/>
            <w:gridSpan w:val="4"/>
            <w:tcBorders>
              <w:tl2br w:val="nil"/>
              <w:tr2bl w:val="nil"/>
            </w:tcBorders>
            <w:noWrap w:val="0"/>
            <w:vAlign w:val="center"/>
          </w:tcPr>
          <w:p w14:paraId="5A800193">
            <w:pPr>
              <w:ind w:right="1256" w:rightChars="598"/>
              <w:jc w:val="center"/>
              <w:rPr>
                <w:rFonts w:hint="eastAsia" w:ascii="宋体" w:hAnsi="宋体"/>
                <w:color w:val="auto"/>
                <w:szCs w:val="21"/>
              </w:rPr>
            </w:pPr>
            <w:r>
              <w:rPr>
                <w:rFonts w:hint="eastAsia" w:ascii="宋体" w:hAnsi="宋体"/>
                <w:color w:val="auto"/>
                <w:szCs w:val="21"/>
              </w:rPr>
              <w:t>基本误差</w:t>
            </w:r>
          </w:p>
        </w:tc>
      </w:tr>
      <w:tr w14:paraId="0A8CA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172" w:type="dxa"/>
            <w:vMerge w:val="continue"/>
            <w:tcBorders>
              <w:tl2br w:val="nil"/>
              <w:tr2bl w:val="nil"/>
            </w:tcBorders>
            <w:noWrap w:val="0"/>
            <w:vAlign w:val="center"/>
          </w:tcPr>
          <w:p w14:paraId="6809FFBC">
            <w:pPr>
              <w:spacing w:line="90" w:lineRule="atLeast"/>
              <w:jc w:val="center"/>
              <w:rPr>
                <w:rFonts w:ascii="宋体" w:hAnsi="宋体"/>
                <w:color w:val="auto"/>
                <w:szCs w:val="21"/>
                <w:vertAlign w:val="subscript"/>
              </w:rPr>
            </w:pPr>
          </w:p>
        </w:tc>
        <w:tc>
          <w:tcPr>
            <w:tcW w:w="1283" w:type="dxa"/>
            <w:vMerge w:val="restart"/>
            <w:tcBorders>
              <w:tl2br w:val="nil"/>
              <w:tr2bl w:val="nil"/>
            </w:tcBorders>
            <w:noWrap w:val="0"/>
            <w:vAlign w:val="center"/>
          </w:tcPr>
          <w:p w14:paraId="17E7049D">
            <w:pPr>
              <w:spacing w:line="90" w:lineRule="atLeast"/>
              <w:jc w:val="center"/>
              <w:rPr>
                <w:rFonts w:hint="eastAsia" w:ascii="宋体" w:hAnsi="宋体"/>
                <w:color w:val="auto"/>
                <w:szCs w:val="21"/>
              </w:rPr>
            </w:pPr>
            <w:r>
              <w:rPr>
                <w:rFonts w:hint="eastAsia" w:ascii="宋体" w:hAnsi="宋体"/>
                <w:color w:val="auto"/>
                <w:szCs w:val="21"/>
              </w:rPr>
              <w:t>频率</w:t>
            </w:r>
          </w:p>
        </w:tc>
        <w:tc>
          <w:tcPr>
            <w:tcW w:w="4911" w:type="dxa"/>
            <w:gridSpan w:val="3"/>
            <w:tcBorders>
              <w:tl2br w:val="nil"/>
              <w:tr2bl w:val="nil"/>
            </w:tcBorders>
            <w:noWrap w:val="0"/>
            <w:vAlign w:val="center"/>
          </w:tcPr>
          <w:p w14:paraId="14AA66BF">
            <w:pPr>
              <w:spacing w:line="90" w:lineRule="atLeast"/>
              <w:jc w:val="center"/>
              <w:rPr>
                <w:rFonts w:hint="eastAsia" w:ascii="宋体" w:hAnsi="宋体"/>
                <w:color w:val="auto"/>
                <w:spacing w:val="-10"/>
                <w:szCs w:val="21"/>
              </w:rPr>
            </w:pPr>
            <w:r>
              <w:rPr>
                <w:rFonts w:hint="eastAsia" w:ascii="宋体" w:hAnsi="宋体"/>
                <w:color w:val="auto"/>
                <w:spacing w:val="-10"/>
                <w:szCs w:val="21"/>
              </w:rPr>
              <w:t>输出电流</w:t>
            </w:r>
          </w:p>
        </w:tc>
      </w:tr>
      <w:tr w14:paraId="75A69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vMerge w:val="continue"/>
            <w:tcBorders>
              <w:tl2br w:val="nil"/>
              <w:tr2bl w:val="nil"/>
            </w:tcBorders>
            <w:noWrap w:val="0"/>
            <w:vAlign w:val="center"/>
          </w:tcPr>
          <w:p w14:paraId="48894E51">
            <w:pPr>
              <w:spacing w:line="90" w:lineRule="atLeast"/>
              <w:jc w:val="center"/>
              <w:rPr>
                <w:rFonts w:ascii="宋体" w:hAnsi="宋体"/>
                <w:color w:val="auto"/>
                <w:szCs w:val="21"/>
                <w:vertAlign w:val="subscript"/>
              </w:rPr>
            </w:pPr>
          </w:p>
        </w:tc>
        <w:tc>
          <w:tcPr>
            <w:tcW w:w="1283" w:type="dxa"/>
            <w:vMerge w:val="continue"/>
            <w:tcBorders>
              <w:tl2br w:val="nil"/>
              <w:tr2bl w:val="nil"/>
            </w:tcBorders>
            <w:noWrap w:val="0"/>
            <w:vAlign w:val="center"/>
          </w:tcPr>
          <w:p w14:paraId="408F5010">
            <w:pPr>
              <w:spacing w:line="90" w:lineRule="atLeast"/>
              <w:jc w:val="center"/>
              <w:rPr>
                <w:rFonts w:ascii="宋体" w:hAnsi="宋体"/>
                <w:color w:val="auto"/>
                <w:spacing w:val="-6"/>
                <w:szCs w:val="21"/>
                <w:vertAlign w:val="subscript"/>
              </w:rPr>
            </w:pPr>
          </w:p>
        </w:tc>
        <w:tc>
          <w:tcPr>
            <w:tcW w:w="1427" w:type="dxa"/>
            <w:tcBorders>
              <w:tl2br w:val="nil"/>
              <w:tr2bl w:val="nil"/>
            </w:tcBorders>
            <w:noWrap w:val="0"/>
            <w:vAlign w:val="center"/>
          </w:tcPr>
          <w:p w14:paraId="6B54977B">
            <w:pPr>
              <w:spacing w:line="90" w:lineRule="atLeast"/>
              <w:jc w:val="center"/>
              <w:rPr>
                <w:rFonts w:hint="default" w:ascii="Times New Roman" w:hAnsi="Times New Roman" w:cs="Times New Roman"/>
                <w:color w:val="auto"/>
                <w:spacing w:val="0"/>
                <w:szCs w:val="21"/>
                <w:vertAlign w:val="subscript"/>
              </w:rPr>
            </w:pPr>
            <w:r>
              <w:rPr>
                <w:rFonts w:hint="eastAsia" w:cs="Times New Roman"/>
                <w:i/>
                <w:color w:val="auto"/>
                <w:spacing w:val="0"/>
                <w:szCs w:val="21"/>
                <w:lang w:eastAsia="zh-CN"/>
              </w:rPr>
              <w:t>I</w:t>
            </w:r>
            <w:r>
              <w:rPr>
                <w:rFonts w:hint="eastAsia" w:ascii="宋体" w:hAnsi="宋体" w:eastAsia="宋体" w:cs="宋体"/>
                <w:color w:val="auto"/>
                <w:spacing w:val="0"/>
                <w:szCs w:val="21"/>
              </w:rPr>
              <w:t>≤</w:t>
            </w:r>
            <w:r>
              <w:rPr>
                <w:rFonts w:hint="default" w:ascii="Times New Roman" w:hAnsi="Times New Roman" w:cs="Times New Roman"/>
                <w:color w:val="auto"/>
                <w:spacing w:val="0"/>
                <w:szCs w:val="21"/>
              </w:rPr>
              <w:t>0.</w:t>
            </w:r>
            <w:r>
              <w:rPr>
                <w:rFonts w:hint="default" w:ascii="Times New Roman" w:hAnsi="Times New Roman" w:cs="Times New Roman"/>
                <w:color w:val="auto"/>
                <w:spacing w:val="0"/>
                <w:szCs w:val="21"/>
                <w:lang w:val="en-US" w:eastAsia="zh-CN"/>
              </w:rPr>
              <w:t>5</w:t>
            </w:r>
            <w:r>
              <w:rPr>
                <w:rFonts w:hint="eastAsia" w:cs="Times New Roman"/>
                <w:i/>
                <w:color w:val="auto"/>
                <w:spacing w:val="0"/>
                <w:sz w:val="24"/>
                <w:szCs w:val="24"/>
                <w:lang w:eastAsia="zh-CN"/>
              </w:rPr>
              <w:t>I</w:t>
            </w:r>
            <w:r>
              <w:rPr>
                <w:rFonts w:hint="default" w:ascii="Times New Roman" w:hAnsi="Times New Roman" w:cs="Times New Roman"/>
                <w:color w:val="auto"/>
                <w:spacing w:val="0"/>
                <w:sz w:val="24"/>
                <w:szCs w:val="24"/>
                <w:vertAlign w:val="subscript"/>
              </w:rPr>
              <w:t>N</w:t>
            </w:r>
          </w:p>
        </w:tc>
        <w:tc>
          <w:tcPr>
            <w:tcW w:w="1823" w:type="dxa"/>
            <w:tcBorders>
              <w:tl2br w:val="nil"/>
              <w:tr2bl w:val="nil"/>
            </w:tcBorders>
            <w:noWrap w:val="0"/>
            <w:vAlign w:val="center"/>
          </w:tcPr>
          <w:p w14:paraId="5075EB92">
            <w:pPr>
              <w:spacing w:line="90" w:lineRule="atLeast"/>
              <w:rPr>
                <w:rFonts w:hint="default" w:ascii="Times New Roman" w:hAnsi="Times New Roman" w:eastAsia="宋体" w:cs="Times New Roman"/>
                <w:color w:val="auto"/>
                <w:spacing w:val="0"/>
                <w:szCs w:val="21"/>
                <w:vertAlign w:val="subscript"/>
                <w:lang w:val="en-US" w:eastAsia="zh-CN"/>
              </w:rPr>
            </w:pPr>
            <w:r>
              <w:rPr>
                <w:rFonts w:hint="default" w:ascii="Times New Roman" w:hAnsi="Times New Roman" w:cs="Times New Roman"/>
                <w:color w:val="auto"/>
                <w:spacing w:val="0"/>
                <w:sz w:val="21"/>
                <w:szCs w:val="21"/>
              </w:rPr>
              <w:t>0.</w:t>
            </w:r>
            <w:r>
              <w:rPr>
                <w:rFonts w:hint="default" w:ascii="Times New Roman" w:hAnsi="Times New Roman" w:cs="Times New Roman"/>
                <w:color w:val="auto"/>
                <w:spacing w:val="0"/>
                <w:sz w:val="21"/>
                <w:szCs w:val="21"/>
                <w:lang w:val="en-US" w:eastAsia="zh-CN"/>
              </w:rPr>
              <w:t>5</w:t>
            </w:r>
            <w:r>
              <w:rPr>
                <w:rFonts w:hint="eastAsia" w:cs="Times New Roman"/>
                <w:i/>
                <w:color w:val="auto"/>
                <w:spacing w:val="0"/>
                <w:sz w:val="21"/>
                <w:szCs w:val="21"/>
                <w:lang w:eastAsia="zh-CN"/>
              </w:rPr>
              <w:t>I</w:t>
            </w:r>
            <w:r>
              <w:rPr>
                <w:rFonts w:hint="default" w:ascii="Times New Roman" w:hAnsi="Times New Roman" w:eastAsia="黑体" w:cs="Times New Roman"/>
                <w:color w:val="auto"/>
                <w:spacing w:val="0"/>
                <w:sz w:val="21"/>
                <w:szCs w:val="21"/>
                <w:vertAlign w:val="subscript"/>
              </w:rPr>
              <w:t>N</w:t>
            </w:r>
            <w:r>
              <w:rPr>
                <w:rFonts w:hint="default" w:ascii="Times New Roman" w:hAnsi="Times New Roman" w:cs="Times New Roman"/>
                <w:i w:val="0"/>
                <w:iCs/>
                <w:color w:val="auto"/>
                <w:spacing w:val="0"/>
                <w:sz w:val="21"/>
                <w:szCs w:val="21"/>
              </w:rPr>
              <w:t>＜</w:t>
            </w:r>
            <w:r>
              <w:rPr>
                <w:rFonts w:hint="eastAsia" w:cs="Times New Roman"/>
                <w:i/>
                <w:color w:val="auto"/>
                <w:spacing w:val="0"/>
                <w:sz w:val="21"/>
                <w:szCs w:val="21"/>
                <w:lang w:eastAsia="zh-CN"/>
              </w:rPr>
              <w:t>I</w:t>
            </w:r>
            <w:r>
              <w:rPr>
                <w:rFonts w:hint="eastAsia" w:ascii="宋体" w:hAnsi="宋体" w:eastAsia="宋体" w:cs="宋体"/>
                <w:color w:val="auto"/>
                <w:spacing w:val="0"/>
                <w:szCs w:val="21"/>
              </w:rPr>
              <w:t>≤</w:t>
            </w:r>
            <w:r>
              <w:rPr>
                <w:rFonts w:hint="default" w:ascii="Times New Roman" w:hAnsi="Times New Roman" w:cs="Times New Roman"/>
                <w:color w:val="auto"/>
                <w:spacing w:val="0"/>
                <w:sz w:val="21"/>
                <w:szCs w:val="21"/>
                <w:lang w:val="en-US" w:eastAsia="zh-CN"/>
              </w:rPr>
              <w:t>1.2</w:t>
            </w:r>
            <w:r>
              <w:rPr>
                <w:rFonts w:hint="eastAsia" w:cs="Times New Roman"/>
                <w:i/>
                <w:color w:val="auto"/>
                <w:spacing w:val="0"/>
                <w:sz w:val="21"/>
                <w:szCs w:val="21"/>
                <w:lang w:eastAsia="zh-CN"/>
              </w:rPr>
              <w:t>I</w:t>
            </w:r>
            <w:r>
              <w:rPr>
                <w:rFonts w:hint="default" w:ascii="Times New Roman" w:hAnsi="Times New Roman" w:eastAsia="黑体" w:cs="Times New Roman"/>
                <w:color w:val="auto"/>
                <w:spacing w:val="0"/>
                <w:sz w:val="21"/>
                <w:szCs w:val="21"/>
                <w:vertAlign w:val="subscript"/>
              </w:rPr>
              <w:t>N</w:t>
            </w:r>
          </w:p>
        </w:tc>
        <w:tc>
          <w:tcPr>
            <w:tcW w:w="1661" w:type="dxa"/>
            <w:tcBorders>
              <w:tl2br w:val="nil"/>
              <w:tr2bl w:val="nil"/>
            </w:tcBorders>
            <w:noWrap w:val="0"/>
            <w:vAlign w:val="center"/>
          </w:tcPr>
          <w:p w14:paraId="27173D7D">
            <w:pPr>
              <w:spacing w:line="90" w:lineRule="atLeast"/>
              <w:jc w:val="center"/>
              <w:rPr>
                <w:rFonts w:hint="default" w:ascii="Times New Roman" w:hAnsi="Times New Roman" w:cs="Times New Roman"/>
                <w:color w:val="auto"/>
                <w:spacing w:val="0"/>
                <w:szCs w:val="21"/>
                <w:shd w:val="clear" w:color="auto" w:fill="auto"/>
                <w:vertAlign w:val="subscript"/>
              </w:rPr>
            </w:pPr>
            <w:r>
              <w:rPr>
                <w:rFonts w:hint="default" w:ascii="Times New Roman" w:hAnsi="Times New Roman" w:cs="Times New Roman"/>
                <w:color w:val="auto"/>
                <w:spacing w:val="0"/>
                <w:szCs w:val="21"/>
                <w:shd w:val="clear" w:color="auto" w:fill="auto"/>
                <w:lang w:val="en-US" w:eastAsia="zh-CN"/>
              </w:rPr>
              <w:t>1</w:t>
            </w:r>
            <w:r>
              <w:rPr>
                <w:rFonts w:hint="default" w:ascii="Times New Roman" w:hAnsi="Times New Roman" w:cs="Times New Roman"/>
                <w:color w:val="auto"/>
                <w:spacing w:val="0"/>
                <w:szCs w:val="21"/>
                <w:shd w:val="clear" w:color="auto" w:fill="auto"/>
              </w:rPr>
              <w:t>.</w:t>
            </w:r>
            <w:r>
              <w:rPr>
                <w:rFonts w:hint="default" w:ascii="Times New Roman" w:hAnsi="Times New Roman" w:cs="Times New Roman"/>
                <w:color w:val="auto"/>
                <w:spacing w:val="0"/>
                <w:szCs w:val="21"/>
                <w:shd w:val="clear" w:color="auto" w:fill="auto"/>
                <w:lang w:val="en-US" w:eastAsia="zh-CN"/>
              </w:rPr>
              <w:t>2</w:t>
            </w:r>
            <w:r>
              <w:rPr>
                <w:rFonts w:hint="eastAsia" w:cs="Times New Roman"/>
                <w:i/>
                <w:color w:val="auto"/>
                <w:spacing w:val="0"/>
                <w:szCs w:val="21"/>
                <w:shd w:val="clear" w:color="auto" w:fill="auto"/>
                <w:lang w:eastAsia="zh-CN"/>
              </w:rPr>
              <w:t>I</w:t>
            </w:r>
            <w:r>
              <w:rPr>
                <w:rFonts w:hint="default" w:ascii="Times New Roman" w:hAnsi="Times New Roman" w:eastAsia="黑体" w:cs="Times New Roman"/>
                <w:color w:val="auto"/>
                <w:spacing w:val="0"/>
                <w:szCs w:val="21"/>
                <w:shd w:val="clear" w:color="auto" w:fill="auto"/>
                <w:vertAlign w:val="subscript"/>
              </w:rPr>
              <w:t>N</w:t>
            </w:r>
            <w:r>
              <w:rPr>
                <w:rFonts w:hint="default" w:ascii="Times New Roman" w:hAnsi="Times New Roman" w:cs="Times New Roman"/>
                <w:i/>
                <w:color w:val="auto"/>
                <w:spacing w:val="0"/>
                <w:szCs w:val="21"/>
                <w:shd w:val="clear" w:color="auto" w:fill="auto"/>
              </w:rPr>
              <w:t>＜</w:t>
            </w:r>
            <w:r>
              <w:rPr>
                <w:rFonts w:hint="eastAsia" w:cs="Times New Roman"/>
                <w:i/>
                <w:color w:val="auto"/>
                <w:spacing w:val="0"/>
                <w:szCs w:val="21"/>
                <w:shd w:val="clear" w:color="auto" w:fill="auto"/>
                <w:lang w:eastAsia="zh-CN"/>
              </w:rPr>
              <w:t>I</w:t>
            </w:r>
            <w:r>
              <w:rPr>
                <w:rFonts w:hint="eastAsia" w:ascii="宋体" w:hAnsi="宋体" w:eastAsia="宋体" w:cs="宋体"/>
                <w:color w:val="auto"/>
                <w:spacing w:val="0"/>
                <w:szCs w:val="21"/>
              </w:rPr>
              <w:t>≤</w:t>
            </w:r>
            <w:r>
              <w:rPr>
                <w:rFonts w:hint="eastAsia" w:cs="Times New Roman"/>
                <w:i/>
                <w:color w:val="auto"/>
                <w:spacing w:val="0"/>
                <w:szCs w:val="21"/>
                <w:shd w:val="clear" w:color="auto" w:fill="auto"/>
                <w:lang w:eastAsia="zh-CN"/>
              </w:rPr>
              <w:t>I</w:t>
            </w:r>
            <w:r>
              <w:rPr>
                <w:rFonts w:hint="default" w:ascii="Times New Roman" w:hAnsi="Times New Roman" w:eastAsia="宋体" w:cs="Times New Roman"/>
                <w:color w:val="auto"/>
                <w:spacing w:val="0"/>
                <w:sz w:val="21"/>
                <w:szCs w:val="21"/>
                <w:shd w:val="clear" w:color="auto" w:fill="auto"/>
                <w:vertAlign w:val="subscript"/>
              </w:rPr>
              <w:t>max</w:t>
            </w:r>
          </w:p>
        </w:tc>
      </w:tr>
      <w:tr w14:paraId="14F4D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tcBorders>
              <w:tl2br w:val="nil"/>
              <w:tr2bl w:val="nil"/>
            </w:tcBorders>
            <w:noWrap w:val="0"/>
            <w:vAlign w:val="center"/>
          </w:tcPr>
          <w:p w14:paraId="6947461C">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50Hz</w:t>
            </w:r>
          </w:p>
        </w:tc>
        <w:tc>
          <w:tcPr>
            <w:tcW w:w="1283" w:type="dxa"/>
            <w:tcBorders>
              <w:tl2br w:val="nil"/>
              <w:tr2bl w:val="nil"/>
            </w:tcBorders>
            <w:noWrap w:val="0"/>
            <w:vAlign w:val="center"/>
          </w:tcPr>
          <w:p w14:paraId="7B04C786">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±0.001Hz</w:t>
            </w:r>
          </w:p>
        </w:tc>
        <w:tc>
          <w:tcPr>
            <w:tcW w:w="1427" w:type="dxa"/>
            <w:tcBorders>
              <w:tl2br w:val="nil"/>
              <w:tr2bl w:val="nil"/>
            </w:tcBorders>
            <w:noWrap w:val="0"/>
            <w:vAlign w:val="center"/>
          </w:tcPr>
          <w:p w14:paraId="1E750E30">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w:t>
            </w:r>
            <w:r>
              <w:rPr>
                <w:rFonts w:hint="eastAsia" w:ascii="Times New Roman" w:hAnsi="Times New Roman" w:cs="Times New Roman"/>
                <w:color w:val="auto"/>
                <w:spacing w:val="0"/>
                <w:szCs w:val="21"/>
                <w:lang w:val="en-US" w:eastAsia="zh-CN"/>
              </w:rPr>
              <w:t>1</w:t>
            </w:r>
            <w:r>
              <w:rPr>
                <w:rFonts w:hint="eastAsia" w:ascii="Times New Roman" w:hAnsi="Times New Roman" w:cs="Times New Roman"/>
                <w:color w:val="auto"/>
                <w:spacing w:val="0"/>
                <w:szCs w:val="21"/>
              </w:rPr>
              <w:t>mA</w:t>
            </w:r>
          </w:p>
        </w:tc>
        <w:tc>
          <w:tcPr>
            <w:tcW w:w="1823" w:type="dxa"/>
            <w:tcBorders>
              <w:tl2br w:val="nil"/>
              <w:tr2bl w:val="nil"/>
            </w:tcBorders>
            <w:noWrap w:val="0"/>
            <w:vAlign w:val="center"/>
          </w:tcPr>
          <w:p w14:paraId="5B4E39D0">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±0.</w:t>
            </w:r>
            <w:r>
              <w:rPr>
                <w:rFonts w:hint="eastAsia" w:ascii="Times New Roman" w:hAnsi="Times New Roman" w:cs="Times New Roman"/>
                <w:color w:val="auto"/>
                <w:spacing w:val="0"/>
                <w:szCs w:val="21"/>
                <w:lang w:val="en-US" w:eastAsia="zh-CN"/>
              </w:rPr>
              <w:t>05</w:t>
            </w:r>
            <w:r>
              <w:rPr>
                <w:rFonts w:hint="eastAsia" w:ascii="Times New Roman" w:hAnsi="Times New Roman" w:cs="Times New Roman"/>
                <w:color w:val="auto"/>
                <w:spacing w:val="0"/>
                <w:szCs w:val="21"/>
              </w:rPr>
              <w:t>%</w:t>
            </w:r>
          </w:p>
        </w:tc>
        <w:tc>
          <w:tcPr>
            <w:tcW w:w="1661" w:type="dxa"/>
            <w:tcBorders>
              <w:tl2br w:val="nil"/>
              <w:tr2bl w:val="nil"/>
            </w:tcBorders>
            <w:noWrap w:val="0"/>
            <w:vAlign w:val="center"/>
          </w:tcPr>
          <w:p w14:paraId="4B341066">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±0.</w:t>
            </w:r>
            <w:r>
              <w:rPr>
                <w:rFonts w:hint="eastAsia" w:ascii="Times New Roman" w:hAnsi="Times New Roman" w:cs="Times New Roman"/>
                <w:color w:val="auto"/>
                <w:spacing w:val="0"/>
                <w:szCs w:val="21"/>
                <w:lang w:val="en-US" w:eastAsia="zh-CN"/>
              </w:rPr>
              <w:t>1</w:t>
            </w:r>
            <w:r>
              <w:rPr>
                <w:rFonts w:hint="eastAsia" w:ascii="Times New Roman" w:hAnsi="Times New Roman" w:cs="Times New Roman"/>
                <w:color w:val="auto"/>
                <w:spacing w:val="0"/>
                <w:szCs w:val="21"/>
              </w:rPr>
              <w:t>%</w:t>
            </w:r>
          </w:p>
        </w:tc>
      </w:tr>
      <w:tr w14:paraId="0C0A4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tcBorders>
              <w:tl2br w:val="nil"/>
              <w:tr2bl w:val="nil"/>
            </w:tcBorders>
            <w:noWrap w:val="0"/>
            <w:vAlign w:val="center"/>
          </w:tcPr>
          <w:p w14:paraId="12F727EE">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10Hz＜</w:t>
            </w:r>
            <w:r>
              <w:rPr>
                <w:rFonts w:hint="eastAsia" w:eastAsia="Times New Roman" w:cs="Times New Roman"/>
                <w:i/>
                <w:iCs/>
                <w:color w:val="auto"/>
                <w:spacing w:val="0"/>
                <w:szCs w:val="21"/>
                <w:lang w:eastAsia="zh-CN"/>
              </w:rPr>
              <w:t>f</w:t>
            </w:r>
            <w:r>
              <w:rPr>
                <w:rFonts w:hint="eastAsia" w:ascii="Times New Roman" w:hAnsi="Times New Roman" w:cs="Times New Roman"/>
                <w:color w:val="auto"/>
                <w:spacing w:val="0"/>
                <w:szCs w:val="21"/>
              </w:rPr>
              <w:t>≤65Hz</w:t>
            </w:r>
          </w:p>
        </w:tc>
        <w:tc>
          <w:tcPr>
            <w:tcW w:w="1283" w:type="dxa"/>
            <w:tcBorders>
              <w:tl2br w:val="nil"/>
              <w:tr2bl w:val="nil"/>
            </w:tcBorders>
            <w:noWrap w:val="0"/>
            <w:vAlign w:val="center"/>
          </w:tcPr>
          <w:p w14:paraId="0A86D806">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±0.001Hz</w:t>
            </w:r>
          </w:p>
        </w:tc>
        <w:tc>
          <w:tcPr>
            <w:tcW w:w="4911" w:type="dxa"/>
            <w:gridSpan w:val="3"/>
            <w:tcBorders>
              <w:tl2br w:val="nil"/>
              <w:tr2bl w:val="nil"/>
            </w:tcBorders>
            <w:noWrap w:val="0"/>
            <w:vAlign w:val="center"/>
          </w:tcPr>
          <w:p w14:paraId="4CFBC535">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±0.</w:t>
            </w:r>
            <w:r>
              <w:rPr>
                <w:rFonts w:hint="eastAsia" w:ascii="Times New Roman" w:hAnsi="Times New Roman" w:cs="Times New Roman"/>
                <w:color w:val="auto"/>
                <w:spacing w:val="0"/>
                <w:szCs w:val="21"/>
                <w:lang w:val="en-US" w:eastAsia="zh-CN"/>
              </w:rPr>
              <w:t>2</w:t>
            </w:r>
            <w:r>
              <w:rPr>
                <w:rFonts w:hint="eastAsia" w:ascii="Times New Roman" w:hAnsi="Times New Roman" w:cs="Times New Roman"/>
                <w:color w:val="auto"/>
                <w:spacing w:val="0"/>
                <w:szCs w:val="21"/>
              </w:rPr>
              <w:t>%</w:t>
            </w:r>
          </w:p>
        </w:tc>
      </w:tr>
      <w:tr w14:paraId="7C1D4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tcBorders>
              <w:tl2br w:val="nil"/>
              <w:tr2bl w:val="nil"/>
            </w:tcBorders>
            <w:noWrap w:val="0"/>
            <w:vAlign w:val="center"/>
          </w:tcPr>
          <w:p w14:paraId="19095C43">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65Hz＜</w:t>
            </w:r>
            <w:r>
              <w:rPr>
                <w:rFonts w:hint="eastAsia" w:eastAsia="Times New Roman" w:cs="Times New Roman"/>
                <w:i/>
                <w:iCs/>
                <w:color w:val="auto"/>
                <w:spacing w:val="0"/>
                <w:szCs w:val="21"/>
                <w:lang w:eastAsia="zh-CN"/>
              </w:rPr>
              <w:t>f</w:t>
            </w:r>
            <w:r>
              <w:rPr>
                <w:rFonts w:hint="eastAsia" w:ascii="Times New Roman" w:hAnsi="Times New Roman" w:cs="Times New Roman"/>
                <w:color w:val="auto"/>
                <w:spacing w:val="0"/>
                <w:szCs w:val="21"/>
              </w:rPr>
              <w:t>≤450Hz</w:t>
            </w:r>
          </w:p>
        </w:tc>
        <w:tc>
          <w:tcPr>
            <w:tcW w:w="1283" w:type="dxa"/>
            <w:tcBorders>
              <w:tl2br w:val="nil"/>
              <w:tr2bl w:val="nil"/>
            </w:tcBorders>
            <w:noWrap w:val="0"/>
            <w:vAlign w:val="center"/>
          </w:tcPr>
          <w:p w14:paraId="0AC50E7E">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±0.01Hz</w:t>
            </w:r>
          </w:p>
        </w:tc>
        <w:tc>
          <w:tcPr>
            <w:tcW w:w="4911" w:type="dxa"/>
            <w:gridSpan w:val="3"/>
            <w:tcBorders>
              <w:tl2br w:val="nil"/>
              <w:tr2bl w:val="nil"/>
            </w:tcBorders>
            <w:noWrap w:val="0"/>
            <w:vAlign w:val="center"/>
          </w:tcPr>
          <w:p w14:paraId="676B913B">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±0.</w:t>
            </w:r>
            <w:r>
              <w:rPr>
                <w:rFonts w:hint="eastAsia" w:ascii="Times New Roman" w:hAnsi="Times New Roman" w:cs="Times New Roman"/>
                <w:color w:val="auto"/>
                <w:spacing w:val="0"/>
                <w:szCs w:val="21"/>
                <w:lang w:val="en-US" w:eastAsia="zh-CN"/>
              </w:rPr>
              <w:t>2</w:t>
            </w:r>
            <w:r>
              <w:rPr>
                <w:rFonts w:hint="eastAsia" w:ascii="Times New Roman" w:hAnsi="Times New Roman" w:cs="Times New Roman"/>
                <w:color w:val="auto"/>
                <w:spacing w:val="0"/>
                <w:szCs w:val="21"/>
              </w:rPr>
              <w:t>%</w:t>
            </w:r>
          </w:p>
        </w:tc>
      </w:tr>
      <w:tr w14:paraId="684D9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tcBorders>
              <w:tl2br w:val="nil"/>
              <w:tr2bl w:val="nil"/>
            </w:tcBorders>
            <w:noWrap w:val="0"/>
            <w:vAlign w:val="center"/>
          </w:tcPr>
          <w:p w14:paraId="6514DA79">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450Hz＜</w:t>
            </w:r>
            <w:r>
              <w:rPr>
                <w:rFonts w:hint="eastAsia" w:eastAsia="Times New Roman" w:cs="Times New Roman"/>
                <w:i/>
                <w:iCs/>
                <w:color w:val="auto"/>
                <w:spacing w:val="0"/>
                <w:szCs w:val="21"/>
                <w:lang w:eastAsia="zh-CN"/>
              </w:rPr>
              <w:t>f</w:t>
            </w:r>
            <w:r>
              <w:rPr>
                <w:rFonts w:hint="eastAsia" w:ascii="Times New Roman" w:hAnsi="Times New Roman" w:cs="Times New Roman"/>
                <w:color w:val="auto"/>
                <w:spacing w:val="0"/>
                <w:szCs w:val="21"/>
              </w:rPr>
              <w:t>≤1000Hz</w:t>
            </w:r>
          </w:p>
        </w:tc>
        <w:tc>
          <w:tcPr>
            <w:tcW w:w="1283" w:type="dxa"/>
            <w:tcBorders>
              <w:tl2br w:val="nil"/>
              <w:tr2bl w:val="nil"/>
            </w:tcBorders>
            <w:noWrap w:val="0"/>
            <w:vAlign w:val="center"/>
          </w:tcPr>
          <w:p w14:paraId="3CB38A09">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±0.02Hz</w:t>
            </w:r>
          </w:p>
        </w:tc>
        <w:tc>
          <w:tcPr>
            <w:tcW w:w="4911" w:type="dxa"/>
            <w:gridSpan w:val="3"/>
            <w:tcBorders>
              <w:tl2br w:val="nil"/>
              <w:tr2bl w:val="nil"/>
            </w:tcBorders>
            <w:noWrap w:val="0"/>
            <w:vAlign w:val="center"/>
          </w:tcPr>
          <w:p w14:paraId="2AB4B4E6">
            <w:pPr>
              <w:spacing w:line="90" w:lineRule="atLeast"/>
              <w:jc w:val="center"/>
              <w:rPr>
                <w:rFonts w:hint="default" w:ascii="Times New Roman" w:hAnsi="Times New Roman" w:cs="Times New Roman"/>
                <w:color w:val="auto"/>
                <w:spacing w:val="0"/>
                <w:szCs w:val="21"/>
              </w:rPr>
            </w:pPr>
            <w:r>
              <w:rPr>
                <w:rFonts w:hint="eastAsia" w:ascii="Times New Roman" w:hAnsi="Times New Roman" w:cs="Times New Roman"/>
                <w:color w:val="auto"/>
                <w:spacing w:val="0"/>
                <w:szCs w:val="21"/>
              </w:rPr>
              <w:t>±0.5%</w:t>
            </w:r>
          </w:p>
        </w:tc>
      </w:tr>
    </w:tbl>
    <w:p w14:paraId="2AD1C61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2"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b/>
          <w:bCs/>
          <w:i w:val="0"/>
          <w:iCs w:val="0"/>
          <w:caps w:val="0"/>
          <w:color w:val="000000"/>
          <w:spacing w:val="0"/>
          <w:sz w:val="24"/>
          <w:szCs w:val="24"/>
        </w:rPr>
        <w:t>（2）</w:t>
      </w:r>
      <w:r>
        <w:rPr>
          <w:rStyle w:val="12"/>
          <w:rFonts w:hint="eastAsia" w:ascii="宋体" w:hAnsi="宋体" w:eastAsia="宋体" w:cs="宋体"/>
          <w:b/>
          <w:bCs/>
          <w:i w:val="0"/>
          <w:iCs w:val="0"/>
          <w:caps w:val="0"/>
          <w:color w:val="000000"/>
          <w:spacing w:val="0"/>
          <w:sz w:val="24"/>
          <w:szCs w:val="24"/>
        </w:rPr>
        <w:t>输出电流</w:t>
      </w:r>
      <w:r>
        <w:rPr>
          <w:rStyle w:val="12"/>
          <w:rFonts w:hint="eastAsia" w:ascii="宋体" w:hAnsi="宋体" w:eastAsia="宋体" w:cs="宋体"/>
          <w:i w:val="0"/>
          <w:iCs w:val="0"/>
          <w:caps w:val="0"/>
          <w:color w:val="000000"/>
          <w:spacing w:val="0"/>
          <w:sz w:val="24"/>
          <w:szCs w:val="24"/>
        </w:rPr>
        <w:t>总谐波畸变率</w:t>
      </w:r>
      <w:r>
        <w:rPr>
          <w:rFonts w:hint="eastAsia" w:ascii="宋体" w:hAnsi="宋体" w:eastAsia="宋体" w:cs="宋体"/>
          <w:i w:val="0"/>
          <w:iCs w:val="0"/>
          <w:caps w:val="0"/>
          <w:color w:val="000000"/>
          <w:spacing w:val="0"/>
          <w:sz w:val="24"/>
          <w:szCs w:val="24"/>
        </w:rPr>
        <w:t>：</w:t>
      </w:r>
      <w:r>
        <w:rPr>
          <w:rFonts w:hint="eastAsia" w:ascii="仿宋_GB2312" w:hAnsi="仿宋_GB2312" w:eastAsia="仿宋_GB2312" w:cs="仿宋_GB2312"/>
          <w:color w:val="000000"/>
          <w:kern w:val="2"/>
          <w:sz w:val="24"/>
          <w:szCs w:val="24"/>
          <w:lang w:val="en-US" w:eastAsia="zh-CN" w:bidi="ar-SA"/>
        </w:rPr>
        <w:t>在负载0.3Ω的条件下，输出交流电流1A、5A时的总谐波畸变率不应大于0.1%；电流源输出0.1A～</w:t>
      </w:r>
      <w:r>
        <w:rPr>
          <w:rFonts w:hint="eastAsia" w:cs="Times New Roman"/>
          <w:i/>
          <w:color w:val="auto"/>
          <w:spacing w:val="0"/>
          <w:szCs w:val="21"/>
          <w:shd w:val="clear" w:color="auto" w:fill="auto"/>
          <w:lang w:eastAsia="zh-CN"/>
        </w:rPr>
        <w:t>I</w:t>
      </w:r>
      <w:r>
        <w:rPr>
          <w:rFonts w:hint="default" w:ascii="Times New Roman" w:hAnsi="Times New Roman" w:eastAsia="宋体" w:cs="Times New Roman"/>
          <w:color w:val="auto"/>
          <w:spacing w:val="0"/>
          <w:sz w:val="21"/>
          <w:szCs w:val="21"/>
          <w:shd w:val="clear" w:color="auto" w:fill="auto"/>
          <w:vertAlign w:val="subscript"/>
        </w:rPr>
        <w:t>max</w:t>
      </w:r>
      <w:r>
        <w:rPr>
          <w:rFonts w:hint="eastAsia" w:ascii="仿宋_GB2312" w:hAnsi="仿宋_GB2312" w:eastAsia="仿宋_GB2312" w:cs="仿宋_GB2312"/>
          <w:color w:val="000000"/>
          <w:kern w:val="2"/>
          <w:sz w:val="24"/>
          <w:szCs w:val="24"/>
          <w:lang w:val="en-US" w:eastAsia="zh-CN" w:bidi="ar-SA"/>
        </w:rPr>
        <w:t>，输出电流总谐波畸变率应≤0.2%。</w:t>
      </w:r>
    </w:p>
    <w:p w14:paraId="7274B5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b/>
          <w:bCs/>
          <w:i w:val="0"/>
          <w:iCs w:val="0"/>
          <w:caps w:val="0"/>
          <w:color w:val="000000"/>
          <w:spacing w:val="0"/>
          <w:sz w:val="24"/>
          <w:szCs w:val="24"/>
        </w:rPr>
        <w:t>（3）</w:t>
      </w:r>
      <w:r>
        <w:rPr>
          <w:rStyle w:val="12"/>
          <w:rFonts w:hint="eastAsia" w:ascii="宋体" w:hAnsi="宋体" w:eastAsia="宋体" w:cs="宋体"/>
          <w:b/>
          <w:bCs/>
          <w:i w:val="0"/>
          <w:iCs w:val="0"/>
          <w:caps w:val="0"/>
          <w:color w:val="000000"/>
          <w:spacing w:val="0"/>
          <w:sz w:val="24"/>
          <w:szCs w:val="24"/>
        </w:rPr>
        <w:t>交流</w:t>
      </w:r>
      <w:r>
        <w:rPr>
          <w:rStyle w:val="12"/>
          <w:rFonts w:hint="eastAsia" w:ascii="宋体" w:hAnsi="宋体" w:eastAsia="宋体" w:cs="宋体"/>
          <w:i w:val="0"/>
          <w:iCs w:val="0"/>
          <w:caps w:val="0"/>
          <w:color w:val="000000"/>
          <w:spacing w:val="0"/>
          <w:sz w:val="24"/>
          <w:szCs w:val="24"/>
        </w:rPr>
        <w:t>电流响应时间</w:t>
      </w:r>
      <w:r>
        <w:rPr>
          <w:rFonts w:hint="eastAsia" w:ascii="宋体" w:hAnsi="宋体" w:eastAsia="宋体" w:cs="宋体"/>
          <w:i w:val="0"/>
          <w:iCs w:val="0"/>
          <w:caps w:val="0"/>
          <w:color w:val="000000"/>
          <w:spacing w:val="0"/>
          <w:sz w:val="24"/>
          <w:szCs w:val="24"/>
        </w:rPr>
        <w:t>：</w:t>
      </w:r>
      <w:r>
        <w:rPr>
          <w:rFonts w:hint="eastAsia" w:ascii="仿宋_GB2312" w:hAnsi="仿宋_GB2312" w:eastAsia="仿宋_GB2312" w:cs="仿宋_GB2312"/>
          <w:color w:val="000000"/>
          <w:kern w:val="2"/>
          <w:sz w:val="24"/>
          <w:szCs w:val="24"/>
          <w:lang w:val="en-US" w:eastAsia="zh-CN" w:bidi="ar-SA"/>
        </w:rPr>
        <w:t>在50Hz下输出电流为</w:t>
      </w:r>
      <w:r>
        <w:rPr>
          <w:rFonts w:hint="eastAsia" w:cs="Times New Roman"/>
          <w:i/>
          <w:color w:val="auto"/>
          <w:spacing w:val="0"/>
          <w:szCs w:val="21"/>
          <w:shd w:val="clear" w:color="auto" w:fill="auto"/>
          <w:lang w:eastAsia="zh-CN"/>
        </w:rPr>
        <w:t>I</w:t>
      </w:r>
      <w:r>
        <w:rPr>
          <w:rFonts w:hint="default" w:ascii="Times New Roman" w:hAnsi="Times New Roman" w:eastAsia="宋体" w:cs="Times New Roman"/>
          <w:color w:val="auto"/>
          <w:spacing w:val="0"/>
          <w:sz w:val="21"/>
          <w:szCs w:val="21"/>
          <w:shd w:val="clear" w:color="auto" w:fill="auto"/>
          <w:vertAlign w:val="subscript"/>
        </w:rPr>
        <w:t>max</w:t>
      </w:r>
      <w:r>
        <w:rPr>
          <w:rFonts w:hint="eastAsia" w:ascii="仿宋_GB2312" w:hAnsi="仿宋_GB2312" w:eastAsia="仿宋_GB2312" w:cs="仿宋_GB2312"/>
          <w:color w:val="000000"/>
          <w:kern w:val="2"/>
          <w:sz w:val="24"/>
          <w:szCs w:val="24"/>
          <w:lang w:val="en-US" w:eastAsia="zh-CN" w:bidi="ar-SA"/>
        </w:rPr>
        <w:t>时，在0.3Ω的阻性负载上测得幅值由10%上升至90%或由90%下降至10%时，响应时间应小于100μs。</w:t>
      </w:r>
    </w:p>
    <w:p w14:paraId="699E980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6.2.2 交流电压输出</w:t>
      </w:r>
    </w:p>
    <w:p w14:paraId="3F352F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b/>
          <w:bCs/>
          <w:i w:val="0"/>
          <w:iCs w:val="0"/>
          <w:caps w:val="0"/>
          <w:color w:val="000000"/>
          <w:spacing w:val="0"/>
          <w:sz w:val="24"/>
          <w:szCs w:val="24"/>
        </w:rPr>
        <w:t>（1）交流电压输出示值误差：</w:t>
      </w:r>
      <w:r>
        <w:rPr>
          <w:rFonts w:hint="eastAsia" w:ascii="仿宋_GB2312" w:hAnsi="仿宋_GB2312" w:eastAsia="仿宋_GB2312" w:cs="仿宋_GB2312"/>
          <w:color w:val="000000"/>
          <w:kern w:val="2"/>
          <w:sz w:val="24"/>
          <w:szCs w:val="24"/>
          <w:lang w:val="en-US" w:eastAsia="zh-CN" w:bidi="ar-SA"/>
        </w:rPr>
        <w:t>测试仪的最大电压有效值Umax≥264V。各频率下，每相输出电压的最大允许误差：50Hz时，</w:t>
      </w:r>
      <w:r>
        <w:rPr>
          <w:rFonts w:hint="eastAsia" w:ascii="仿宋_GB2312" w:hAnsi="仿宋_GB2312" w:eastAsia="仿宋_GB2312" w:cs="仿宋_GB2312"/>
          <w:i/>
          <w:iCs/>
          <w:color w:val="000000"/>
          <w:kern w:val="2"/>
          <w:sz w:val="24"/>
          <w:szCs w:val="24"/>
          <w:lang w:val="en-US" w:eastAsia="zh-CN" w:bidi="ar-SA"/>
        </w:rPr>
        <w:t>U</w:t>
      </w:r>
      <w:r>
        <w:rPr>
          <w:rFonts w:hint="eastAsia" w:ascii="仿宋_GB2312" w:hAnsi="仿宋_GB2312" w:eastAsia="仿宋_GB2312" w:cs="仿宋_GB2312"/>
          <w:color w:val="000000"/>
          <w:kern w:val="2"/>
          <w:sz w:val="24"/>
          <w:szCs w:val="24"/>
          <w:lang w:val="en-US" w:eastAsia="zh-CN" w:bidi="ar-SA"/>
        </w:rPr>
        <w:t>≤2V为±2mV，2V&lt;U≤</w:t>
      </w:r>
      <w:r>
        <w:rPr>
          <w:rFonts w:hint="eastAsia" w:ascii="仿宋_GB2312" w:hAnsi="仿宋_GB2312" w:eastAsia="仿宋_GB2312" w:cs="仿宋_GB2312"/>
          <w:i/>
          <w:iCs/>
          <w:color w:val="000000"/>
          <w:kern w:val="2"/>
          <w:sz w:val="24"/>
          <w:szCs w:val="24"/>
          <w:lang w:val="en-US" w:eastAsia="zh-CN" w:bidi="ar-SA"/>
        </w:rPr>
        <w:t>U</w:t>
      </w:r>
      <w:r>
        <w:rPr>
          <w:rFonts w:hint="eastAsia" w:ascii="仿宋_GB2312" w:hAnsi="仿宋_GB2312" w:eastAsia="仿宋_GB2312" w:cs="仿宋_GB2312"/>
          <w:color w:val="000000"/>
          <w:kern w:val="2"/>
          <w:sz w:val="24"/>
          <w:szCs w:val="24"/>
          <w:vertAlign w:val="subscript"/>
          <w:lang w:val="en-US" w:eastAsia="zh-CN" w:bidi="ar-SA"/>
        </w:rPr>
        <w:t>max</w:t>
      </w:r>
      <w:r>
        <w:rPr>
          <w:rFonts w:hint="eastAsia" w:ascii="仿宋_GB2312" w:hAnsi="仿宋_GB2312" w:eastAsia="仿宋_GB2312" w:cs="仿宋_GB2312"/>
          <w:color w:val="000000"/>
          <w:kern w:val="2"/>
          <w:sz w:val="24"/>
          <w:szCs w:val="24"/>
          <w:lang w:val="en-US" w:eastAsia="zh-CN" w:bidi="ar-SA"/>
        </w:rPr>
        <w:t>为</w:t>
      </w:r>
    </w:p>
    <w:p w14:paraId="636493A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±0.05%；其他频率段的误差要求与交流电流类似。</w:t>
      </w:r>
    </w:p>
    <w:p w14:paraId="1B22213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b/>
          <w:bCs/>
          <w:i w:val="0"/>
          <w:iCs w:val="0"/>
          <w:caps w:val="0"/>
          <w:color w:val="000000"/>
          <w:spacing w:val="0"/>
          <w:sz w:val="24"/>
          <w:szCs w:val="24"/>
        </w:rPr>
        <w:t>（2）输出电压总谐波畸变率：</w:t>
      </w:r>
      <w:r>
        <w:rPr>
          <w:rFonts w:hint="eastAsia" w:ascii="仿宋_GB2312" w:hAnsi="仿宋_GB2312" w:eastAsia="仿宋_GB2312" w:cs="仿宋_GB2312"/>
          <w:color w:val="000000"/>
          <w:kern w:val="2"/>
          <w:sz w:val="24"/>
          <w:szCs w:val="24"/>
          <w:lang w:val="en-US" w:eastAsia="zh-CN" w:bidi="ar-SA"/>
        </w:rPr>
        <w:t>输出电压为2V～</w:t>
      </w:r>
      <w:r>
        <w:rPr>
          <w:rFonts w:hint="eastAsia" w:ascii="仿宋_GB2312" w:hAnsi="仿宋_GB2312" w:eastAsia="仿宋_GB2312" w:cs="仿宋_GB2312"/>
          <w:i/>
          <w:iCs/>
          <w:color w:val="000000"/>
          <w:kern w:val="2"/>
          <w:sz w:val="24"/>
          <w:szCs w:val="24"/>
          <w:lang w:val="en-US" w:eastAsia="zh-CN" w:bidi="ar-SA"/>
        </w:rPr>
        <w:t>U</w:t>
      </w:r>
      <w:r>
        <w:rPr>
          <w:rFonts w:hint="eastAsia" w:ascii="仿宋_GB2312" w:hAnsi="仿宋_GB2312" w:eastAsia="仿宋_GB2312" w:cs="仿宋_GB2312"/>
          <w:color w:val="000000"/>
          <w:kern w:val="2"/>
          <w:sz w:val="24"/>
          <w:szCs w:val="24"/>
          <w:vertAlign w:val="subscript"/>
          <w:lang w:val="en-US" w:eastAsia="zh-CN" w:bidi="ar-SA"/>
        </w:rPr>
        <w:t>max</w:t>
      </w:r>
      <w:r>
        <w:rPr>
          <w:rFonts w:hint="eastAsia" w:ascii="仿宋_GB2312" w:hAnsi="仿宋_GB2312" w:eastAsia="仿宋_GB2312" w:cs="仿宋_GB2312"/>
          <w:color w:val="000000"/>
          <w:kern w:val="2"/>
          <w:sz w:val="24"/>
          <w:szCs w:val="24"/>
          <w:lang w:val="en-US" w:eastAsia="zh-CN" w:bidi="ar-SA"/>
        </w:rPr>
        <w:t>时，总谐波畸变率不大于0.2%。</w:t>
      </w:r>
    </w:p>
    <w:p w14:paraId="33D1089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（3）交流电压响应时间：</w:t>
      </w:r>
      <w:r>
        <w:rPr>
          <w:rFonts w:hint="eastAsia" w:ascii="仿宋_GB2312" w:hAnsi="仿宋_GB2312" w:eastAsia="仿宋_GB2312" w:cs="仿宋_GB2312"/>
          <w:i w:val="0"/>
          <w:iCs w:val="0"/>
          <w:caps w:val="0"/>
          <w:color w:val="000000"/>
          <w:spacing w:val="0"/>
          <w:sz w:val="24"/>
          <w:szCs w:val="24"/>
        </w:rPr>
        <w:t>在50Hz下输出电压为</w:t>
      </w:r>
      <w:r>
        <w:rPr>
          <w:rFonts w:hint="eastAsia" w:ascii="仿宋_GB2312" w:hAnsi="仿宋_GB2312" w:eastAsia="仿宋_GB2312" w:cs="仿宋_GB2312"/>
          <w:i/>
          <w:iCs/>
          <w:color w:val="000000"/>
          <w:kern w:val="2"/>
          <w:sz w:val="24"/>
          <w:szCs w:val="24"/>
          <w:lang w:val="en-US" w:eastAsia="zh-CN" w:bidi="ar-SA"/>
        </w:rPr>
        <w:t>U</w:t>
      </w:r>
      <w:r>
        <w:rPr>
          <w:rFonts w:hint="eastAsia" w:ascii="仿宋_GB2312" w:hAnsi="仿宋_GB2312" w:eastAsia="仿宋_GB2312" w:cs="仿宋_GB2312"/>
          <w:color w:val="000000"/>
          <w:kern w:val="2"/>
          <w:sz w:val="24"/>
          <w:szCs w:val="24"/>
          <w:vertAlign w:val="subscript"/>
          <w:lang w:val="en-US" w:eastAsia="zh-CN" w:bidi="ar-SA"/>
        </w:rPr>
        <w:t>max</w:t>
      </w:r>
      <w:r>
        <w:rPr>
          <w:rFonts w:hint="eastAsia" w:ascii="仿宋_GB2312" w:hAnsi="仿宋_GB2312" w:eastAsia="仿宋_GB2312" w:cs="仿宋_GB2312"/>
          <w:i w:val="0"/>
          <w:iCs w:val="0"/>
          <w:caps w:val="0"/>
          <w:color w:val="000000"/>
          <w:spacing w:val="0"/>
          <w:sz w:val="24"/>
          <w:szCs w:val="24"/>
        </w:rPr>
        <w:t>时，响应时间应小于100μs。</w:t>
      </w:r>
    </w:p>
    <w:p w14:paraId="753AA22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6.2.3 直流输出</w:t>
      </w:r>
    </w:p>
    <w:p w14:paraId="074C6C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宋体" w:hAnsi="宋体" w:eastAsia="宋体" w:cs="宋体"/>
          <w:i w:val="0"/>
          <w:iCs w:val="0"/>
          <w:caps w:val="0"/>
          <w:color w:val="000000"/>
          <w:spacing w:val="0"/>
          <w:sz w:val="10"/>
          <w:szCs w:val="10"/>
        </w:rPr>
      </w:pPr>
      <w:r>
        <w:rPr>
          <w:rFonts w:hint="eastAsia" w:ascii="宋体" w:hAnsi="宋体" w:eastAsia="宋体" w:cs="宋体"/>
          <w:b/>
          <w:bCs/>
          <w:i w:val="0"/>
          <w:iCs w:val="0"/>
          <w:caps w:val="0"/>
          <w:color w:val="000000"/>
          <w:spacing w:val="0"/>
          <w:sz w:val="24"/>
          <w:szCs w:val="24"/>
        </w:rPr>
        <w:t>（1）直流电流输出：</w:t>
      </w:r>
      <w:r>
        <w:rPr>
          <w:rFonts w:hint="eastAsia" w:ascii="仿宋_GB2312" w:hAnsi="仿宋_GB2312" w:eastAsia="仿宋_GB2312" w:cs="仿宋_GB2312"/>
          <w:i w:val="0"/>
          <w:iCs w:val="0"/>
          <w:caps w:val="0"/>
          <w:color w:val="000000"/>
          <w:spacing w:val="0"/>
          <w:sz w:val="24"/>
          <w:szCs w:val="24"/>
        </w:rPr>
        <w:t>输出幅值范围为-20mA～20mA，最大允许误差不超过±0.1mA，纹波系数不大于1%，响应时间小于1ms。</w:t>
      </w:r>
    </w:p>
    <w:p w14:paraId="5F1534A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（2）直流电压输出：</w:t>
      </w:r>
      <w:r>
        <w:rPr>
          <w:rFonts w:hint="eastAsia" w:ascii="仿宋_GB2312" w:hAnsi="仿宋_GB2312" w:eastAsia="仿宋_GB2312" w:cs="仿宋_GB2312"/>
          <w:i w:val="0"/>
          <w:iCs w:val="0"/>
          <w:caps w:val="0"/>
          <w:color w:val="000000"/>
          <w:spacing w:val="0"/>
          <w:sz w:val="24"/>
          <w:szCs w:val="24"/>
        </w:rPr>
        <w:t>输出幅值范围为0V～60V，U≤5V时最大允许误差不超过±25mV，5V&lt;U≤60V时不超过±0.1%，纹波系数不大于1%，响应时间小于1ms。</w:t>
      </w:r>
    </w:p>
    <w:p w14:paraId="076156F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6.2.4 其他计量特性</w:t>
      </w:r>
    </w:p>
    <w:p w14:paraId="3BF73CF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（1）频率输出：</w:t>
      </w:r>
      <w:r>
        <w:rPr>
          <w:rFonts w:hint="eastAsia" w:ascii="仿宋_GB2312" w:hAnsi="仿宋_GB2312" w:eastAsia="仿宋_GB2312" w:cs="仿宋_GB2312"/>
          <w:i w:val="0"/>
          <w:iCs w:val="0"/>
          <w:caps w:val="0"/>
          <w:color w:val="000000"/>
          <w:spacing w:val="0"/>
          <w:sz w:val="24"/>
          <w:szCs w:val="24"/>
        </w:rPr>
        <w:t>范围10Hz～1000Hz，10Hz&lt;</w:t>
      </w:r>
      <w:r>
        <w:rPr>
          <w:rFonts w:hint="eastAsia" w:ascii="Times New Roman" w:hAnsi="Times New Roman" w:eastAsia="Times New Roman" w:cs="Times New Roman"/>
          <w:i/>
          <w:iCs/>
          <w:color w:val="auto"/>
          <w:spacing w:val="0"/>
          <w:kern w:val="2"/>
          <w:sz w:val="21"/>
          <w:szCs w:val="21"/>
          <w:lang w:val="en-US" w:eastAsia="zh-CN" w:bidi="ar-SA"/>
        </w:rPr>
        <w:t>f</w:t>
      </w:r>
      <w:r>
        <w:rPr>
          <w:rFonts w:hint="eastAsia" w:ascii="仿宋_GB2312" w:hAnsi="仿宋_GB2312" w:eastAsia="仿宋_GB2312" w:cs="仿宋_GB2312"/>
          <w:i w:val="0"/>
          <w:iCs w:val="0"/>
          <w:caps w:val="0"/>
          <w:color w:val="000000"/>
          <w:spacing w:val="0"/>
          <w:sz w:val="24"/>
          <w:szCs w:val="24"/>
        </w:rPr>
        <w:t>≤65Hz时误差±0.001Hz，65Hz&lt;</w:t>
      </w:r>
      <w:r>
        <w:rPr>
          <w:rFonts w:hint="eastAsia" w:ascii="Times New Roman" w:hAnsi="Times New Roman" w:eastAsia="Times New Roman" w:cs="Times New Roman"/>
          <w:i/>
          <w:iCs/>
          <w:color w:val="auto"/>
          <w:spacing w:val="0"/>
          <w:kern w:val="2"/>
          <w:sz w:val="21"/>
          <w:szCs w:val="21"/>
          <w:lang w:val="en-US" w:eastAsia="zh-CN" w:bidi="ar-SA"/>
        </w:rPr>
        <w:t>f</w:t>
      </w:r>
      <w:r>
        <w:rPr>
          <w:rFonts w:hint="eastAsia" w:ascii="仿宋_GB2312" w:hAnsi="仿宋_GB2312" w:eastAsia="仿宋_GB2312" w:cs="仿宋_GB2312"/>
          <w:i w:val="0"/>
          <w:iCs w:val="0"/>
          <w:caps w:val="0"/>
          <w:color w:val="000000"/>
          <w:spacing w:val="0"/>
          <w:sz w:val="24"/>
          <w:szCs w:val="24"/>
        </w:rPr>
        <w:t>≤450Hz时误差±0.01Hz，450Hz&lt;</w:t>
      </w:r>
      <w:r>
        <w:rPr>
          <w:rFonts w:hint="eastAsia" w:ascii="Times New Roman" w:hAnsi="Times New Roman" w:eastAsia="Times New Roman" w:cs="Times New Roman"/>
          <w:i/>
          <w:iCs/>
          <w:color w:val="auto"/>
          <w:spacing w:val="0"/>
          <w:kern w:val="2"/>
          <w:sz w:val="21"/>
          <w:szCs w:val="21"/>
          <w:lang w:val="en-US" w:eastAsia="zh-CN" w:bidi="ar-SA"/>
        </w:rPr>
        <w:t>f</w:t>
      </w:r>
      <w:r>
        <w:rPr>
          <w:rFonts w:hint="eastAsia" w:ascii="仿宋_GB2312" w:hAnsi="仿宋_GB2312" w:eastAsia="仿宋_GB2312" w:cs="仿宋_GB2312"/>
          <w:i w:val="0"/>
          <w:iCs w:val="0"/>
          <w:caps w:val="0"/>
          <w:color w:val="000000"/>
          <w:spacing w:val="0"/>
          <w:sz w:val="24"/>
          <w:szCs w:val="24"/>
        </w:rPr>
        <w:t>≤1000Hz时误差±0.02Hz。</w:t>
      </w:r>
    </w:p>
    <w:p w14:paraId="735FB88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（2）相位输出</w:t>
      </w:r>
      <w:r>
        <w:rPr>
          <w:rFonts w:hint="eastAsia" w:ascii="宋体" w:hAnsi="宋体" w:eastAsia="宋体" w:cs="宋体"/>
          <w:i w:val="0"/>
          <w:iCs w:val="0"/>
          <w:caps w:val="0"/>
          <w:color w:val="000000"/>
          <w:spacing w:val="0"/>
          <w:sz w:val="24"/>
          <w:szCs w:val="24"/>
        </w:rPr>
        <w:t>：</w:t>
      </w:r>
      <w:r>
        <w:rPr>
          <w:rFonts w:hint="eastAsia" w:ascii="仿宋_GB2312" w:hAnsi="仿宋_GB2312" w:eastAsia="仿宋_GB2312" w:cs="仿宋_GB2312"/>
          <w:i w:val="0"/>
          <w:iCs w:val="0"/>
          <w:caps w:val="0"/>
          <w:color w:val="000000"/>
          <w:spacing w:val="0"/>
          <w:sz w:val="24"/>
          <w:szCs w:val="24"/>
        </w:rPr>
        <w:t>调整范围0°～360°，最大允许误差±0.1°，分辨率≤0.1°。</w:t>
      </w:r>
    </w:p>
    <w:p w14:paraId="69F964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宋体" w:hAnsi="宋体" w:eastAsia="宋体" w:cs="宋体"/>
          <w:i w:val="0"/>
          <w:iCs w:val="0"/>
          <w:caps w:val="0"/>
          <w:color w:val="000000"/>
          <w:spacing w:val="0"/>
          <w:sz w:val="10"/>
          <w:szCs w:val="10"/>
        </w:rPr>
      </w:pPr>
      <w:r>
        <w:rPr>
          <w:rFonts w:hint="eastAsia" w:ascii="宋体" w:hAnsi="宋体" w:eastAsia="宋体" w:cs="宋体"/>
          <w:b/>
          <w:bCs/>
          <w:i w:val="0"/>
          <w:iCs w:val="0"/>
          <w:caps w:val="0"/>
          <w:color w:val="000000"/>
          <w:spacing w:val="0"/>
          <w:sz w:val="24"/>
          <w:szCs w:val="24"/>
        </w:rPr>
        <w:t>（3）功率输出</w:t>
      </w:r>
      <w:r>
        <w:rPr>
          <w:rFonts w:hint="eastAsia" w:ascii="宋体" w:hAnsi="宋体" w:eastAsia="宋体" w:cs="宋体"/>
          <w:i w:val="0"/>
          <w:iCs w:val="0"/>
          <w:caps w:val="0"/>
          <w:color w:val="000000"/>
          <w:spacing w:val="0"/>
          <w:sz w:val="24"/>
          <w:szCs w:val="24"/>
        </w:rPr>
        <w:t>：</w:t>
      </w:r>
      <w:r>
        <w:rPr>
          <w:rFonts w:hint="eastAsia" w:ascii="仿宋_GB2312" w:hAnsi="仿宋_GB2312" w:eastAsia="仿宋_GB2312" w:cs="仿宋_GB2312"/>
          <w:i w:val="0"/>
          <w:iCs w:val="0"/>
          <w:caps w:val="0"/>
          <w:color w:val="000000"/>
          <w:spacing w:val="0"/>
          <w:sz w:val="24"/>
          <w:szCs w:val="24"/>
        </w:rPr>
        <w:t>有功功率和无功功率最大允许误差为±0.2%，功率因数最大允许误差±0.001。</w:t>
      </w:r>
    </w:p>
    <w:p w14:paraId="3F41A9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宋体" w:hAnsi="宋体" w:eastAsia="宋体" w:cs="宋体"/>
          <w:i w:val="0"/>
          <w:iCs w:val="0"/>
          <w:caps w:val="0"/>
          <w:color w:val="000000"/>
          <w:spacing w:val="0"/>
          <w:sz w:val="10"/>
          <w:szCs w:val="10"/>
        </w:rPr>
      </w:pPr>
      <w:r>
        <w:rPr>
          <w:rFonts w:hint="eastAsia" w:ascii="宋体" w:hAnsi="宋体" w:eastAsia="宋体" w:cs="宋体"/>
          <w:b/>
          <w:bCs/>
          <w:i w:val="0"/>
          <w:iCs w:val="0"/>
          <w:caps w:val="0"/>
          <w:color w:val="000000"/>
          <w:spacing w:val="0"/>
          <w:sz w:val="24"/>
          <w:szCs w:val="24"/>
        </w:rPr>
        <w:t>（</w:t>
      </w:r>
      <w:r>
        <w:rPr>
          <w:rFonts w:hint="eastAsia" w:ascii="宋体" w:hAnsi="宋体" w:eastAsia="宋体" w:cs="宋体"/>
          <w:b/>
          <w:bCs/>
          <w:i w:val="0"/>
          <w:iCs w:val="0"/>
          <w:caps w:val="0"/>
          <w:color w:val="000000"/>
          <w:spacing w:val="0"/>
          <w:sz w:val="24"/>
          <w:szCs w:val="24"/>
        </w:rPr>
        <w:t>4）谐波输出：</w:t>
      </w:r>
      <w:r>
        <w:rPr>
          <w:rFonts w:hint="eastAsia" w:ascii="仿宋_GB2312" w:hAnsi="仿宋_GB2312" w:eastAsia="仿宋_GB2312" w:cs="仿宋_GB2312"/>
          <w:i w:val="0"/>
          <w:iCs w:val="0"/>
          <w:caps w:val="0"/>
          <w:color w:val="000000"/>
          <w:spacing w:val="0"/>
          <w:sz w:val="24"/>
          <w:szCs w:val="24"/>
        </w:rPr>
        <w:t>应能输出2次～20次谐波，2次～21次最大允许误差为±2%，21次～31次最大允许误差为±5%。</w:t>
      </w:r>
    </w:p>
    <w:p w14:paraId="083392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宋体" w:hAnsi="宋体" w:eastAsia="宋体" w:cs="宋体"/>
          <w:i w:val="0"/>
          <w:iCs w:val="0"/>
          <w:caps w:val="0"/>
          <w:color w:val="000000"/>
          <w:spacing w:val="0"/>
          <w:sz w:val="10"/>
          <w:szCs w:val="10"/>
        </w:rPr>
      </w:pPr>
      <w:r>
        <w:rPr>
          <w:rFonts w:hint="eastAsia" w:ascii="宋体" w:hAnsi="宋体" w:eastAsia="宋体" w:cs="宋体"/>
          <w:b/>
          <w:bCs/>
          <w:i w:val="0"/>
          <w:iCs w:val="0"/>
          <w:caps w:val="0"/>
          <w:color w:val="000000"/>
          <w:spacing w:val="0"/>
          <w:sz w:val="24"/>
          <w:szCs w:val="24"/>
        </w:rPr>
        <w:t>（5）时间测量：</w:t>
      </w:r>
      <w:r>
        <w:rPr>
          <w:rFonts w:hint="eastAsia" w:ascii="仿宋_GB2312" w:hAnsi="仿宋_GB2312" w:eastAsia="仿宋_GB2312" w:cs="仿宋_GB2312"/>
          <w:i w:val="0"/>
          <w:iCs w:val="0"/>
          <w:caps w:val="0"/>
          <w:color w:val="000000"/>
          <w:spacing w:val="0"/>
          <w:sz w:val="24"/>
          <w:szCs w:val="24"/>
        </w:rPr>
        <w:t>测量范围1ms～9999.999s，1ms&lt;t≤1s时误差±1ms，1s&lt;t≤9999.999s时误差±0.1%。</w:t>
      </w:r>
    </w:p>
    <w:p w14:paraId="48EE401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宋体" w:hAnsi="宋体" w:eastAsia="宋体" w:cs="宋体"/>
          <w:i w:val="0"/>
          <w:iCs w:val="0"/>
          <w:caps w:val="0"/>
          <w:color w:val="000000"/>
          <w:spacing w:val="0"/>
          <w:sz w:val="10"/>
          <w:szCs w:val="10"/>
        </w:rPr>
      </w:pPr>
      <w:r>
        <w:rPr>
          <w:rFonts w:hint="eastAsia" w:ascii="宋体" w:hAnsi="宋体" w:eastAsia="宋体" w:cs="宋体"/>
          <w:b/>
          <w:bCs/>
          <w:i w:val="0"/>
          <w:iCs w:val="0"/>
          <w:caps w:val="0"/>
          <w:color w:val="000000"/>
          <w:spacing w:val="0"/>
          <w:sz w:val="24"/>
          <w:szCs w:val="24"/>
        </w:rPr>
        <w:t>（6）同步性：</w:t>
      </w:r>
      <w:r>
        <w:rPr>
          <w:rFonts w:hint="eastAsia" w:ascii="仿宋_GB2312" w:hAnsi="仿宋_GB2312" w:eastAsia="仿宋_GB2312" w:cs="仿宋_GB2312"/>
          <w:i w:val="0"/>
          <w:iCs w:val="0"/>
          <w:caps w:val="0"/>
          <w:color w:val="000000"/>
          <w:spacing w:val="0"/>
          <w:sz w:val="24"/>
          <w:szCs w:val="24"/>
        </w:rPr>
        <w:t>交流电压和交流电流的同步误差不应大于10μs。</w:t>
      </w:r>
    </w:p>
    <w:p w14:paraId="4FCE0B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6.3 校准项目和校准方法</w:t>
      </w:r>
    </w:p>
    <w:p w14:paraId="64C775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本规范规定的校准项目涵盖了配电自动化终端测试仪的所有关键计量特性，共包括10大类校准项目：</w:t>
      </w:r>
    </w:p>
    <w:tbl>
      <w:tblPr>
        <w:tblW w:w="91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587"/>
        <w:gridCol w:w="1128"/>
        <w:gridCol w:w="7400"/>
      </w:tblGrid>
      <w:tr w14:paraId="7FF96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c>
          <w:tcPr>
            <w:tcW w:w="9115" w:type="dxa"/>
            <w:gridSpan w:val="3"/>
            <w:tcBorders>
              <w:bottom w:val="nil"/>
            </w:tcBorders>
            <w:shd w:val="clear"/>
            <w:vAlign w:val="center"/>
          </w:tcPr>
          <w:p w14:paraId="0CA35015">
            <w:pPr>
              <w:keepNext w:val="0"/>
              <w:keepLines w:val="0"/>
              <w:widowControl/>
              <w:suppressLineNumbers w:val="0"/>
              <w:pBdr>
                <w:top w:val="none" w:color="auto" w:sz="0" w:space="0"/>
                <w:left w:val="none" w:color="auto" w:sz="0" w:space="0"/>
                <w:bottom w:val="none" w:color="auto" w:sz="0" w:space="0"/>
                <w:right w:val="none" w:color="auto" w:sz="0" w:space="0"/>
              </w:pBdr>
              <w:jc w:val="center"/>
              <w:rPr>
                <w:sz w:val="24"/>
                <w:szCs w:val="24"/>
              </w:rPr>
            </w:pPr>
            <w:r>
              <w:rPr>
                <w:rFonts w:hint="eastAsia" w:ascii="宋体" w:hAnsi="宋体" w:eastAsia="宋体" w:cs="宋体"/>
                <w:i w:val="0"/>
                <w:iCs w:val="0"/>
                <w:caps w:val="0"/>
                <w:color w:val="000000"/>
                <w:spacing w:val="0"/>
                <w:sz w:val="24"/>
                <w:szCs w:val="24"/>
              </w:rPr>
              <w:t>校准项目一览表</w:t>
            </w:r>
          </w:p>
        </w:tc>
      </w:tr>
      <w:tr w14:paraId="10C7B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c>
          <w:tcPr>
            <w:tcW w:w="587" w:type="dxa"/>
            <w:tcBorders>
              <w:top w:val="single" w:color="000000" w:sz="2" w:space="0"/>
              <w:bottom w:val="single" w:color="000000" w:sz="2" w:space="0"/>
              <w:right w:val="single" w:color="000000" w:sz="2" w:space="0"/>
            </w:tcBorders>
            <w:shd w:val="clear" w:color="auto" w:fill="F0F0F0"/>
            <w:tcMar>
              <w:top w:w="40" w:type="dxa"/>
              <w:left w:w="53" w:type="dxa"/>
              <w:bottom w:w="40" w:type="dxa"/>
              <w:right w:w="53" w:type="dxa"/>
            </w:tcMar>
            <w:vAlign w:val="center"/>
          </w:tcPr>
          <w:p w14:paraId="368FB444">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bdr w:val="none" w:color="auto" w:sz="0" w:space="0"/>
                <w:lang w:val="en-US" w:eastAsia="zh-CN" w:bidi="ar"/>
              </w:rPr>
              <w:t>序号</w:t>
            </w:r>
          </w:p>
        </w:tc>
        <w:tc>
          <w:tcPr>
            <w:tcW w:w="1128" w:type="dxa"/>
            <w:tcBorders>
              <w:top w:val="single" w:color="000000" w:sz="2" w:space="0"/>
              <w:left w:val="single" w:color="000000" w:sz="2" w:space="0"/>
              <w:bottom w:val="single" w:color="000000" w:sz="2" w:space="0"/>
              <w:right w:val="single" w:color="000000" w:sz="2" w:space="0"/>
            </w:tcBorders>
            <w:shd w:val="clear" w:color="auto" w:fill="F0F0F0"/>
            <w:tcMar>
              <w:top w:w="40" w:type="dxa"/>
              <w:left w:w="53" w:type="dxa"/>
              <w:bottom w:w="40" w:type="dxa"/>
              <w:right w:w="53" w:type="dxa"/>
            </w:tcMar>
            <w:vAlign w:val="center"/>
          </w:tcPr>
          <w:p w14:paraId="2C19EB3B">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bdr w:val="none" w:color="auto" w:sz="0" w:space="0"/>
                <w:lang w:val="en-US" w:eastAsia="zh-CN" w:bidi="ar"/>
              </w:rPr>
              <w:t>校准项目</w:t>
            </w:r>
          </w:p>
        </w:tc>
        <w:tc>
          <w:tcPr>
            <w:tcW w:w="7400" w:type="dxa"/>
            <w:tcBorders>
              <w:top w:val="single" w:color="000000" w:sz="2" w:space="0"/>
              <w:left w:val="single" w:color="000000" w:sz="2" w:space="0"/>
              <w:bottom w:val="single" w:color="000000" w:sz="2" w:space="0"/>
            </w:tcBorders>
            <w:shd w:val="clear" w:color="auto" w:fill="F0F0F0"/>
            <w:tcMar>
              <w:top w:w="40" w:type="dxa"/>
              <w:left w:w="53" w:type="dxa"/>
              <w:bottom w:w="40" w:type="dxa"/>
              <w:right w:w="53" w:type="dxa"/>
            </w:tcMar>
            <w:vAlign w:val="center"/>
          </w:tcPr>
          <w:p w14:paraId="79A8B982">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bdr w:val="none" w:color="auto" w:sz="0" w:space="0"/>
                <w:lang w:val="en-US" w:eastAsia="zh-CN" w:bidi="ar"/>
              </w:rPr>
              <w:t>校准方法要点</w:t>
            </w:r>
          </w:p>
        </w:tc>
      </w:tr>
      <w:tr w14:paraId="464D3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02" w:hRule="atLeast"/>
        </w:trPr>
        <w:tc>
          <w:tcPr>
            <w:tcW w:w="587" w:type="dxa"/>
            <w:tcBorders>
              <w:top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6BA29302">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1</w:t>
            </w:r>
          </w:p>
        </w:tc>
        <w:tc>
          <w:tcPr>
            <w:tcW w:w="1128" w:type="dxa"/>
            <w:tcBorders>
              <w:top w:val="single" w:color="000000" w:sz="2" w:space="0"/>
              <w:left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2A0D3954">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交流电流</w:t>
            </w:r>
          </w:p>
        </w:tc>
        <w:tc>
          <w:tcPr>
            <w:tcW w:w="7400" w:type="dxa"/>
            <w:tcBorders>
              <w:top w:val="single" w:color="000000" w:sz="2" w:space="0"/>
              <w:left w:val="single" w:color="000000" w:sz="2" w:space="0"/>
              <w:bottom w:val="single" w:color="000000" w:sz="2" w:space="0"/>
            </w:tcBorders>
            <w:shd w:val="clear"/>
            <w:tcMar>
              <w:top w:w="40" w:type="dxa"/>
              <w:left w:w="53" w:type="dxa"/>
              <w:bottom w:w="40" w:type="dxa"/>
              <w:right w:w="53" w:type="dxa"/>
            </w:tcMar>
            <w:vAlign w:val="center"/>
          </w:tcPr>
          <w:p w14:paraId="45E38CDB">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采用标准电流表法，校准点包括0.2A、0.5A、1A、IN、1.2IN、Imax</w:t>
            </w:r>
          </w:p>
        </w:tc>
      </w:tr>
      <w:tr w14:paraId="6E402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87" w:type="dxa"/>
            <w:tcBorders>
              <w:top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0F8D0963">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2</w:t>
            </w:r>
          </w:p>
        </w:tc>
        <w:tc>
          <w:tcPr>
            <w:tcW w:w="1128" w:type="dxa"/>
            <w:tcBorders>
              <w:top w:val="single" w:color="000000" w:sz="2" w:space="0"/>
              <w:left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15F3205F">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交流电压</w:t>
            </w:r>
          </w:p>
        </w:tc>
        <w:tc>
          <w:tcPr>
            <w:tcW w:w="7400" w:type="dxa"/>
            <w:tcBorders>
              <w:top w:val="single" w:color="000000" w:sz="2" w:space="0"/>
              <w:left w:val="single" w:color="000000" w:sz="2" w:space="0"/>
              <w:bottom w:val="single" w:color="000000" w:sz="2" w:space="0"/>
            </w:tcBorders>
            <w:shd w:val="clear"/>
            <w:tcMar>
              <w:top w:w="40" w:type="dxa"/>
              <w:left w:w="53" w:type="dxa"/>
              <w:bottom w:w="40" w:type="dxa"/>
              <w:right w:w="53" w:type="dxa"/>
            </w:tcMar>
            <w:vAlign w:val="center"/>
          </w:tcPr>
          <w:p w14:paraId="19E02EE7">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采用标准电压表法，校准点包括2V、57.74V、100V、220V、Umax</w:t>
            </w:r>
          </w:p>
        </w:tc>
      </w:tr>
      <w:tr w14:paraId="533E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87" w:type="dxa"/>
            <w:tcBorders>
              <w:top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63B459A2">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3</w:t>
            </w:r>
          </w:p>
        </w:tc>
        <w:tc>
          <w:tcPr>
            <w:tcW w:w="1128" w:type="dxa"/>
            <w:tcBorders>
              <w:top w:val="single" w:color="000000" w:sz="2" w:space="0"/>
              <w:left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2E0A2453">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直流电流</w:t>
            </w:r>
          </w:p>
        </w:tc>
        <w:tc>
          <w:tcPr>
            <w:tcW w:w="7400" w:type="dxa"/>
            <w:tcBorders>
              <w:top w:val="single" w:color="000000" w:sz="2" w:space="0"/>
              <w:left w:val="single" w:color="000000" w:sz="2" w:space="0"/>
              <w:bottom w:val="single" w:color="000000" w:sz="2" w:space="0"/>
            </w:tcBorders>
            <w:shd w:val="clear"/>
            <w:tcMar>
              <w:top w:w="40" w:type="dxa"/>
              <w:left w:w="53" w:type="dxa"/>
              <w:bottom w:w="40" w:type="dxa"/>
              <w:right w:w="53" w:type="dxa"/>
            </w:tcMar>
            <w:vAlign w:val="center"/>
          </w:tcPr>
          <w:p w14:paraId="368C10BB">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采用数字多用表法，校准点包括-20mA、-10mA、-5mA、0mA、5mA、10mA、20mA</w:t>
            </w:r>
          </w:p>
        </w:tc>
      </w:tr>
      <w:tr w14:paraId="1B5C2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87" w:type="dxa"/>
            <w:tcBorders>
              <w:top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669396CE">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4</w:t>
            </w:r>
          </w:p>
        </w:tc>
        <w:tc>
          <w:tcPr>
            <w:tcW w:w="1128" w:type="dxa"/>
            <w:tcBorders>
              <w:top w:val="single" w:color="000000" w:sz="2" w:space="0"/>
              <w:left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5D0A7761">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直流电压</w:t>
            </w:r>
          </w:p>
        </w:tc>
        <w:tc>
          <w:tcPr>
            <w:tcW w:w="7400" w:type="dxa"/>
            <w:tcBorders>
              <w:top w:val="single" w:color="000000" w:sz="2" w:space="0"/>
              <w:left w:val="single" w:color="000000" w:sz="2" w:space="0"/>
              <w:bottom w:val="single" w:color="000000" w:sz="2" w:space="0"/>
            </w:tcBorders>
            <w:shd w:val="clear"/>
            <w:tcMar>
              <w:top w:w="40" w:type="dxa"/>
              <w:left w:w="53" w:type="dxa"/>
              <w:bottom w:w="40" w:type="dxa"/>
              <w:right w:w="53" w:type="dxa"/>
            </w:tcMar>
            <w:vAlign w:val="center"/>
          </w:tcPr>
          <w:p w14:paraId="405696E7">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采用数字多用表法，校准点包括1V、5V、10V、30V、60V</w:t>
            </w:r>
          </w:p>
        </w:tc>
      </w:tr>
      <w:tr w14:paraId="2BAD2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c>
          <w:tcPr>
            <w:tcW w:w="587" w:type="dxa"/>
            <w:tcBorders>
              <w:top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12BBDD95">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5</w:t>
            </w:r>
          </w:p>
        </w:tc>
        <w:tc>
          <w:tcPr>
            <w:tcW w:w="1128" w:type="dxa"/>
            <w:tcBorders>
              <w:top w:val="single" w:color="000000" w:sz="2" w:space="0"/>
              <w:left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49559941">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频率输出</w:t>
            </w:r>
          </w:p>
        </w:tc>
        <w:tc>
          <w:tcPr>
            <w:tcW w:w="7400" w:type="dxa"/>
            <w:tcBorders>
              <w:top w:val="single" w:color="000000" w:sz="2" w:space="0"/>
              <w:left w:val="single" w:color="000000" w:sz="2" w:space="0"/>
              <w:bottom w:val="single" w:color="000000" w:sz="2" w:space="0"/>
            </w:tcBorders>
            <w:shd w:val="clear"/>
            <w:tcMar>
              <w:top w:w="40" w:type="dxa"/>
              <w:left w:w="53" w:type="dxa"/>
              <w:bottom w:w="40" w:type="dxa"/>
              <w:right w:w="53" w:type="dxa"/>
            </w:tcMar>
            <w:vAlign w:val="center"/>
          </w:tcPr>
          <w:p w14:paraId="2AD393E7">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采用频率计法，校准点包括10Hz、50Hz、65Hz、100Hz、450Hz、1000Hz</w:t>
            </w:r>
          </w:p>
        </w:tc>
      </w:tr>
      <w:tr w14:paraId="45ED2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87" w:type="dxa"/>
            <w:tcBorders>
              <w:top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23E466BE">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6</w:t>
            </w:r>
          </w:p>
        </w:tc>
        <w:tc>
          <w:tcPr>
            <w:tcW w:w="1128" w:type="dxa"/>
            <w:tcBorders>
              <w:top w:val="single" w:color="000000" w:sz="2" w:space="0"/>
              <w:left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1875B1DC">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相位输出</w:t>
            </w:r>
          </w:p>
        </w:tc>
        <w:tc>
          <w:tcPr>
            <w:tcW w:w="7400" w:type="dxa"/>
            <w:tcBorders>
              <w:top w:val="single" w:color="000000" w:sz="2" w:space="0"/>
              <w:left w:val="single" w:color="000000" w:sz="2" w:space="0"/>
              <w:bottom w:val="single" w:color="000000" w:sz="2" w:space="0"/>
            </w:tcBorders>
            <w:shd w:val="clear"/>
            <w:tcMar>
              <w:top w:w="40" w:type="dxa"/>
              <w:left w:w="53" w:type="dxa"/>
              <w:bottom w:w="40" w:type="dxa"/>
              <w:right w:w="53" w:type="dxa"/>
            </w:tcMar>
            <w:vAlign w:val="center"/>
          </w:tcPr>
          <w:p w14:paraId="2AC2E2D4">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采用标准相位表法，在0°～360°范围内均匀选取至少8个校准点</w:t>
            </w:r>
          </w:p>
        </w:tc>
      </w:tr>
      <w:tr w14:paraId="69567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c>
          <w:tcPr>
            <w:tcW w:w="587" w:type="dxa"/>
            <w:tcBorders>
              <w:top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15008F8A">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7</w:t>
            </w:r>
          </w:p>
        </w:tc>
        <w:tc>
          <w:tcPr>
            <w:tcW w:w="1128" w:type="dxa"/>
            <w:tcBorders>
              <w:top w:val="single" w:color="000000" w:sz="2" w:space="0"/>
              <w:left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246B0BE9">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功率输出</w:t>
            </w:r>
          </w:p>
        </w:tc>
        <w:tc>
          <w:tcPr>
            <w:tcW w:w="7400" w:type="dxa"/>
            <w:tcBorders>
              <w:top w:val="single" w:color="000000" w:sz="2" w:space="0"/>
              <w:left w:val="single" w:color="000000" w:sz="2" w:space="0"/>
              <w:bottom w:val="single" w:color="000000" w:sz="2" w:space="0"/>
            </w:tcBorders>
            <w:shd w:val="clear"/>
            <w:tcMar>
              <w:top w:w="40" w:type="dxa"/>
              <w:left w:w="53" w:type="dxa"/>
              <w:bottom w:w="40" w:type="dxa"/>
              <w:right w:w="53" w:type="dxa"/>
            </w:tcMar>
            <w:vAlign w:val="center"/>
          </w:tcPr>
          <w:p w14:paraId="5481C0D6">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采用标准功率表法，功率因数为1.0、0.5L、0.5C</w:t>
            </w:r>
          </w:p>
        </w:tc>
      </w:tr>
      <w:tr w14:paraId="5C5E1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c>
          <w:tcPr>
            <w:tcW w:w="587" w:type="dxa"/>
            <w:tcBorders>
              <w:top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1714C531">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8</w:t>
            </w:r>
          </w:p>
        </w:tc>
        <w:tc>
          <w:tcPr>
            <w:tcW w:w="1128" w:type="dxa"/>
            <w:tcBorders>
              <w:top w:val="single" w:color="000000" w:sz="2" w:space="0"/>
              <w:left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3A191B87">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谐波输出</w:t>
            </w:r>
          </w:p>
        </w:tc>
        <w:tc>
          <w:tcPr>
            <w:tcW w:w="7400" w:type="dxa"/>
            <w:tcBorders>
              <w:top w:val="single" w:color="000000" w:sz="2" w:space="0"/>
              <w:left w:val="single" w:color="000000" w:sz="2" w:space="0"/>
              <w:bottom w:val="single" w:color="000000" w:sz="2" w:space="0"/>
            </w:tcBorders>
            <w:shd w:val="clear"/>
            <w:tcMar>
              <w:top w:w="40" w:type="dxa"/>
              <w:left w:w="53" w:type="dxa"/>
              <w:bottom w:w="40" w:type="dxa"/>
              <w:right w:w="53" w:type="dxa"/>
            </w:tcMar>
            <w:vAlign w:val="center"/>
          </w:tcPr>
          <w:p w14:paraId="2084DE35">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采用谐波分析仪法，叠加2～21次谐波，谐波含量为10%</w:t>
            </w:r>
          </w:p>
        </w:tc>
      </w:tr>
      <w:tr w14:paraId="228B0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c>
          <w:tcPr>
            <w:tcW w:w="587" w:type="dxa"/>
            <w:tcBorders>
              <w:top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7C8E7AAE">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9</w:t>
            </w:r>
          </w:p>
        </w:tc>
        <w:tc>
          <w:tcPr>
            <w:tcW w:w="1128" w:type="dxa"/>
            <w:tcBorders>
              <w:top w:val="single" w:color="000000" w:sz="2" w:space="0"/>
              <w:left w:val="single" w:color="000000" w:sz="2" w:space="0"/>
              <w:bottom w:val="single" w:color="000000" w:sz="2" w:space="0"/>
              <w:right w:val="single" w:color="000000" w:sz="2" w:space="0"/>
            </w:tcBorders>
            <w:shd w:val="clear"/>
            <w:tcMar>
              <w:top w:w="40" w:type="dxa"/>
              <w:left w:w="53" w:type="dxa"/>
              <w:bottom w:w="40" w:type="dxa"/>
              <w:right w:w="53" w:type="dxa"/>
            </w:tcMar>
            <w:vAlign w:val="center"/>
          </w:tcPr>
          <w:p w14:paraId="3C00D2E8">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时间测量</w:t>
            </w:r>
          </w:p>
        </w:tc>
        <w:tc>
          <w:tcPr>
            <w:tcW w:w="7400" w:type="dxa"/>
            <w:tcBorders>
              <w:top w:val="single" w:color="000000" w:sz="2" w:space="0"/>
              <w:left w:val="single" w:color="000000" w:sz="2" w:space="0"/>
              <w:bottom w:val="single" w:color="000000" w:sz="2" w:space="0"/>
            </w:tcBorders>
            <w:shd w:val="clear"/>
            <w:tcMar>
              <w:top w:w="40" w:type="dxa"/>
              <w:left w:w="53" w:type="dxa"/>
              <w:bottom w:w="40" w:type="dxa"/>
              <w:right w:w="53" w:type="dxa"/>
            </w:tcMar>
            <w:vAlign w:val="center"/>
          </w:tcPr>
          <w:p w14:paraId="28CDEC4D">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采用标准时间间隔发生器法或数字存储示波器法</w:t>
            </w:r>
          </w:p>
        </w:tc>
      </w:tr>
      <w:tr w14:paraId="6F90C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c>
          <w:tcPr>
            <w:tcW w:w="587" w:type="dxa"/>
            <w:tcBorders>
              <w:top w:val="single" w:color="000000" w:sz="2" w:space="0"/>
              <w:right w:val="single" w:color="000000" w:sz="2" w:space="0"/>
            </w:tcBorders>
            <w:shd w:val="clear"/>
            <w:tcMar>
              <w:top w:w="40" w:type="dxa"/>
              <w:left w:w="53" w:type="dxa"/>
              <w:bottom w:w="40" w:type="dxa"/>
              <w:right w:w="53" w:type="dxa"/>
            </w:tcMar>
            <w:vAlign w:val="center"/>
          </w:tcPr>
          <w:p w14:paraId="1C65D7A1">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10</w:t>
            </w:r>
          </w:p>
        </w:tc>
        <w:tc>
          <w:tcPr>
            <w:tcW w:w="1128" w:type="dxa"/>
            <w:tcBorders>
              <w:top w:val="single" w:color="000000" w:sz="2" w:space="0"/>
              <w:left w:val="single" w:color="000000" w:sz="2" w:space="0"/>
              <w:right w:val="single" w:color="000000" w:sz="2" w:space="0"/>
            </w:tcBorders>
            <w:shd w:val="clear"/>
            <w:tcMar>
              <w:top w:w="40" w:type="dxa"/>
              <w:left w:w="53" w:type="dxa"/>
              <w:bottom w:w="40" w:type="dxa"/>
              <w:right w:w="53" w:type="dxa"/>
            </w:tcMar>
            <w:vAlign w:val="center"/>
          </w:tcPr>
          <w:p w14:paraId="227B6BED">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同步性</w:t>
            </w:r>
          </w:p>
        </w:tc>
        <w:tc>
          <w:tcPr>
            <w:tcW w:w="7400" w:type="dxa"/>
            <w:tcBorders>
              <w:top w:val="single" w:color="000000" w:sz="2" w:space="0"/>
              <w:left w:val="single" w:color="000000" w:sz="2" w:space="0"/>
            </w:tcBorders>
            <w:shd w:val="clear"/>
            <w:tcMar>
              <w:top w:w="40" w:type="dxa"/>
              <w:left w:w="53" w:type="dxa"/>
              <w:bottom w:w="40" w:type="dxa"/>
              <w:right w:w="53" w:type="dxa"/>
            </w:tcMar>
            <w:vAlign w:val="center"/>
          </w:tcPr>
          <w:p w14:paraId="121FBFB3">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bdr w:val="none" w:color="auto" w:sz="0" w:space="0"/>
                <w:lang w:val="en-US" w:eastAsia="zh-CN" w:bidi="ar"/>
              </w:rPr>
              <w:t>采用数字存储示波器录波法，计算电流与电压之间的时间差</w:t>
            </w:r>
          </w:p>
        </w:tc>
      </w:tr>
    </w:tbl>
    <w:p w14:paraId="46B0F357">
      <w:pPr>
        <w:keepNext w:val="0"/>
        <w:keepLines w:val="0"/>
        <w:pageBreakBefore w:val="0"/>
        <w:widowControl w:val="0"/>
        <w:numPr>
          <w:numId w:val="0"/>
        </w:numPr>
        <w:kinsoku/>
        <w:wordWrap/>
        <w:overflowPunct/>
        <w:topLinePunct w:val="0"/>
        <w:autoSpaceDE/>
        <w:autoSpaceDN/>
        <w:bidi w:val="0"/>
        <w:adjustRightInd/>
        <w:snapToGrid/>
        <w:spacing w:line="540" w:lineRule="exact"/>
        <w:ind w:leftChars="0"/>
        <w:textAlignment w:val="auto"/>
        <w:rPr>
          <w:rFonts w:hint="eastAsia" w:ascii="黑体" w:eastAsia="黑体"/>
          <w:sz w:val="28"/>
          <w:szCs w:val="28"/>
          <w:lang w:eastAsia="zh-CN"/>
        </w:rPr>
      </w:pPr>
    </w:p>
    <w:p w14:paraId="5174C467">
      <w:pPr>
        <w:keepNext w:val="0"/>
        <w:keepLines w:val="0"/>
        <w:pageBreakBefore w:val="0"/>
        <w:widowControl w:val="0"/>
        <w:kinsoku/>
        <w:wordWrap/>
        <w:overflowPunct/>
        <w:topLinePunct w:val="0"/>
        <w:autoSpaceDE/>
        <w:autoSpaceDN/>
        <w:bidi w:val="0"/>
        <w:adjustRightInd/>
        <w:snapToGrid/>
        <w:spacing w:line="540" w:lineRule="exact"/>
        <w:jc w:val="both"/>
        <w:textAlignment w:val="auto"/>
        <w:rPr>
          <w:sz w:val="24"/>
        </w:rPr>
      </w:pPr>
    </w:p>
    <w:p w14:paraId="5A955B2D">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宋体" w:cs="Times New Roman"/>
          <w:b/>
          <w:bCs/>
          <w:color w:val="000000"/>
          <w:sz w:val="24"/>
        </w:rPr>
      </w:pPr>
      <w:r>
        <w:rPr>
          <w:sz w:val="24"/>
        </w:rPr>
        <w:t xml:space="preserve">  </w:t>
      </w:r>
      <w:r>
        <w:rPr>
          <w:rFonts w:hint="eastAsia" w:ascii="宋体" w:hAnsi="宋体" w:cs="宋体"/>
          <w:sz w:val="24"/>
          <w:lang w:val="en-US" w:eastAsia="zh-CN"/>
        </w:rPr>
        <w:t>配电自动化终端测试仪校准规范</w:t>
      </w:r>
      <w:r>
        <w:rPr>
          <w:sz w:val="24"/>
        </w:rPr>
        <w:t>起草小组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9A46A6-8734-4602-8EA1-B07841DEF4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8D7ED31-5EA1-46D9-AAEC-EF7C2FAAF45A}"/>
  </w:font>
  <w:font w:name="方正宋黑简体">
    <w:altName w:val="宋体"/>
    <w:panose1 w:val="00000000000000000000"/>
    <w:charset w:val="86"/>
    <w:family w:val="auto"/>
    <w:pitch w:val="default"/>
    <w:sig w:usb0="00000000" w:usb1="00000000" w:usb2="00000010" w:usb3="00000000" w:csb0="00040000" w:csb1="00000000"/>
    <w:embedRegular r:id="rId3" w:fontKey="{11322959-9AD0-4DBB-AFEA-715CA244CF75}"/>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099AF"/>
    <w:multiLevelType w:val="singleLevel"/>
    <w:tmpl w:val="FB3099AF"/>
    <w:lvl w:ilvl="0" w:tentative="0">
      <w:start w:val="2"/>
      <w:numFmt w:val="chineseCounting"/>
      <w:suff w:val="nothing"/>
      <w:lvlText w:val="%1、"/>
      <w:lvlJc w:val="left"/>
      <w:pPr>
        <w:ind w:left="0"/>
      </w:pPr>
      <w:rPr>
        <w:rFonts w:hint="eastAsia" w:ascii="黑体" w:hAnsi="黑体" w:eastAsia="黑体" w:cs="黑体"/>
      </w:rPr>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ascii="黑体" w:eastAsia="黑体"/>
        <w:b w:val="0"/>
        <w:i w:val="0"/>
        <w:sz w:val="24"/>
        <w:szCs w:val="24"/>
      </w:rPr>
    </w:lvl>
    <w:lvl w:ilvl="1" w:tentative="0">
      <w:start w:val="1"/>
      <w:numFmt w:val="decimal"/>
      <w:pStyle w:val="2"/>
      <w:lvlText w:val="%1.%2"/>
      <w:lvlJc w:val="left"/>
      <w:pPr>
        <w:tabs>
          <w:tab w:val="left" w:pos="567"/>
        </w:tabs>
        <w:ind w:left="567" w:hanging="567"/>
      </w:pPr>
      <w:rPr>
        <w:rFonts w:hint="eastAsia" w:ascii="宋体" w:hAnsi="宋体" w:eastAsia="宋体" w:cs="Times New Roman"/>
        <w:b w:val="0"/>
        <w:i w:val="0"/>
        <w:iCs w:val="0"/>
        <w:caps w:val="0"/>
        <w:smallCaps w:val="0"/>
        <w:strike w:val="0"/>
        <w:dstrike w:val="0"/>
        <w:vanish w:val="0"/>
        <w:color w:val="auto"/>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tabs>
          <w:tab w:val="left" w:pos="709"/>
        </w:tabs>
        <w:ind w:left="709" w:hanging="709"/>
      </w:pPr>
      <w:rPr>
        <w:rFonts w:hint="eastAsia" w:ascii="Arial" w:hAnsi="Arial" w:eastAsia="黑体" w:cs="Times New Roman"/>
        <w:b w:val="0"/>
        <w:bCs w:val="0"/>
        <w:i w:val="0"/>
        <w:iCs w:val="0"/>
        <w:caps w:val="0"/>
        <w:smallCaps w:val="0"/>
        <w:strike w:val="0"/>
        <w:dstrike w:val="0"/>
        <w:vanish w:val="0"/>
        <w:color w:val="auto"/>
        <w:spacing w:val="0"/>
        <w:position w:val="0"/>
        <w:sz w:val="24"/>
        <w:szCs w:val="24"/>
        <w:u w:val="none"/>
        <w:vertAlign w:val="baseline"/>
        <w14:shadow w14:blurRad="0" w14:dist="0" w14:dir="0" w14:sx="0" w14:sy="0" w14:kx="0" w14:ky="0" w14:algn="none">
          <w14:srgbClr w14:val="000000"/>
        </w14:shadow>
      </w:rPr>
    </w:lvl>
    <w:lvl w:ilvl="3" w:tentative="0">
      <w:start w:val="1"/>
      <w:numFmt w:val="decimal"/>
      <w:lvlText w:val="%1.%2.%3.%4"/>
      <w:lvlJc w:val="left"/>
      <w:pPr>
        <w:tabs>
          <w:tab w:val="left" w:pos="851"/>
        </w:tabs>
        <w:ind w:left="851" w:hanging="851"/>
      </w:pPr>
      <w:rPr>
        <w:rFonts w:hint="default" w:ascii="Arial" w:hAnsi="Arial" w:cs="Arial"/>
        <w:b w:val="0"/>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2782A"/>
    <w:rsid w:val="02F4124E"/>
    <w:rsid w:val="112F5B47"/>
    <w:rsid w:val="15A36178"/>
    <w:rsid w:val="18DE2B5A"/>
    <w:rsid w:val="1E0C793C"/>
    <w:rsid w:val="2305618C"/>
    <w:rsid w:val="254C061E"/>
    <w:rsid w:val="25E46AA9"/>
    <w:rsid w:val="268A0303"/>
    <w:rsid w:val="2DDF57D9"/>
    <w:rsid w:val="2E291E44"/>
    <w:rsid w:val="36844E84"/>
    <w:rsid w:val="376547B7"/>
    <w:rsid w:val="403C1A73"/>
    <w:rsid w:val="442742D8"/>
    <w:rsid w:val="4B5E2C47"/>
    <w:rsid w:val="558477DD"/>
    <w:rsid w:val="5C083E13"/>
    <w:rsid w:val="63870141"/>
    <w:rsid w:val="7D62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napToGrid w:val="0"/>
      <w:spacing w:beforeLines="50" w:line="360" w:lineRule="auto"/>
      <w:jc w:val="left"/>
      <w:outlineLvl w:val="1"/>
    </w:pPr>
    <w:rPr>
      <w:rFonts w:ascii="宋体" w:hAnsi="宋体"/>
      <w:bCs/>
      <w:kern w:val="0"/>
      <w:sz w:val="24"/>
      <w:szCs w:val="2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ind w:firstLine="648" w:firstLineChars="200"/>
    </w:pPr>
    <w:rPr>
      <w:rFonts w:eastAsia="仿宋_GB2312"/>
      <w:spacing w:val="12"/>
      <w:sz w:val="30"/>
    </w:rPr>
  </w:style>
  <w:style w:type="paragraph" w:styleId="6">
    <w:name w:val="Plain Text"/>
    <w:basedOn w:val="1"/>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1850</Words>
  <Characters>2003</Characters>
  <Lines>0</Lines>
  <Paragraphs>0</Paragraphs>
  <TotalTime>4</TotalTime>
  <ScaleCrop>false</ScaleCrop>
  <LinksUpToDate>false</LinksUpToDate>
  <CharactersWithSpaces>2019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2026-03-06T04:16:00Z</dcterms:created>
  <dc:creator>杉杉杉杉杉杉杉杉杉</dc:creator>
  <cp:lastModifiedBy>张小猫</cp:lastModifiedBy>
  <dcterms:modified xsi:type="dcterms:W3CDTF">2026-03-11T11:55:31Z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D5D142DA67ED4E5084F87E8E645967A0_11</vt:lpwstr>
  </property>
  <property fmtid="{D5CDD505-2E9C-101B-9397-08002B2CF9AE}" pid="4" name="KSOTemplateDocerSaveRecord">
    <vt:lpwstr>eyJoZGlkIjoiZTA4NzIyN2MxYTlmMzQ1NGE2MjU5NWRkMjhlOGMxYTAiLCJ1c2VySWQiOiIyNDE4MTQ1MzAifQ==</vt:lpwstr>
  </property>
</Properties>
</file>