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jc w:val="center"/>
        <w:rPr>
          <w:rFonts w:hint="eastAsia" w:hAnsi="宋体" w:cs="Times New Roman"/>
          <w:b/>
          <w:sz w:val="44"/>
          <w:szCs w:val="44"/>
        </w:rPr>
      </w:pPr>
      <w:r>
        <w:rPr>
          <w:rFonts w:hint="eastAsia" w:hAnsi="宋体" w:cs="Times New Roman"/>
          <w:b/>
          <w:sz w:val="44"/>
          <w:szCs w:val="44"/>
        </w:rPr>
        <w:t>地方计量技术规范</w:t>
      </w:r>
    </w:p>
    <w:p>
      <w:pPr>
        <w:pStyle w:val="8"/>
        <w:jc w:val="center"/>
        <w:rPr>
          <w:rFonts w:hint="eastAsia" w:ascii="黑体" w:hAnsi="方正仿宋_GB2312" w:eastAsia="黑体"/>
          <w:color w:val="000000"/>
          <w:sz w:val="48"/>
          <w:szCs w:val="48"/>
        </w:rPr>
      </w:pPr>
      <w:r>
        <w:rPr>
          <w:rFonts w:hint="eastAsia" w:hAnsi="宋体" w:cs="Times New Roman"/>
          <w:b/>
          <w:sz w:val="44"/>
          <w:szCs w:val="44"/>
        </w:rPr>
        <w:t>《X射线荧光法钙铁含量分析仪校准规范》</w:t>
      </w:r>
    </w:p>
    <w:p>
      <w:pPr>
        <w:pStyle w:val="8"/>
        <w:jc w:val="center"/>
        <w:rPr>
          <w:rFonts w:hint="eastAsia" w:hAnsi="宋体" w:cs="Times New Roman"/>
          <w:b/>
          <w:sz w:val="44"/>
          <w:szCs w:val="44"/>
        </w:rPr>
      </w:pPr>
      <w:r>
        <w:rPr>
          <w:rFonts w:hint="eastAsia" w:hAnsi="宋体" w:cs="Times New Roman"/>
          <w:b/>
          <w:sz w:val="44"/>
          <w:szCs w:val="44"/>
        </w:rPr>
        <w:t>编制说明</w:t>
      </w: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pStyle w:val="8"/>
        <w:spacing w:line="460" w:lineRule="exact"/>
        <w:jc w:val="center"/>
        <w:rPr>
          <w:rFonts w:hint="eastAsia" w:hAnsi="宋体" w:cs="Times New Roman"/>
          <w:b/>
          <w:sz w:val="30"/>
        </w:rPr>
      </w:pPr>
    </w:p>
    <w:p>
      <w:pPr>
        <w:jc w:val="center"/>
        <w:rPr>
          <w:rFonts w:ascii="宋体"/>
          <w:b/>
          <w:sz w:val="32"/>
          <w:szCs w:val="32"/>
        </w:rPr>
      </w:pPr>
      <w:r>
        <w:rPr>
          <w:rFonts w:hint="eastAsia" w:ascii="宋体" w:hAnsi="宋体"/>
          <w:b/>
          <w:sz w:val="32"/>
          <w:szCs w:val="32"/>
        </w:rPr>
        <w:t>规范编写组</w:t>
      </w:r>
    </w:p>
    <w:p>
      <w:pPr>
        <w:pStyle w:val="8"/>
        <w:spacing w:line="460" w:lineRule="exact"/>
        <w:jc w:val="center"/>
        <w:rPr>
          <w:rFonts w:hint="eastAsia" w:hAnsi="宋体" w:cs="Times New Roman"/>
          <w:b/>
          <w:sz w:val="30"/>
        </w:rPr>
      </w:pPr>
      <w:r>
        <w:rPr>
          <w:rFonts w:hAnsi="宋体" w:cs="Times New Roman"/>
          <w:b/>
          <w:sz w:val="30"/>
        </w:rPr>
        <w:t>202</w:t>
      </w:r>
      <w:r>
        <w:rPr>
          <w:rFonts w:hint="eastAsia" w:hAnsi="宋体" w:cs="Times New Roman"/>
          <w:b/>
          <w:sz w:val="30"/>
          <w:lang w:val="en-US" w:eastAsia="zh-CN"/>
        </w:rPr>
        <w:t>5</w:t>
      </w:r>
      <w:r>
        <w:rPr>
          <w:rFonts w:hint="eastAsia" w:hAnsi="宋体" w:cs="Times New Roman"/>
          <w:b/>
          <w:sz w:val="30"/>
        </w:rPr>
        <w:t>年09月</w:t>
      </w:r>
    </w:p>
    <w:p>
      <w:pPr>
        <w:rPr>
          <w:b/>
          <w:bCs/>
          <w:sz w:val="36"/>
        </w:rPr>
      </w:pPr>
    </w:p>
    <w:p>
      <w:pPr>
        <w:rPr>
          <w:b/>
          <w:bCs/>
          <w:sz w:val="36"/>
        </w:rPr>
      </w:pPr>
    </w:p>
    <w:p>
      <w:pPr>
        <w:jc w:val="center"/>
        <w:rPr>
          <w:b/>
          <w:bCs/>
          <w:sz w:val="36"/>
        </w:rPr>
      </w:pPr>
      <w:r>
        <w:rPr>
          <w:rFonts w:hint="eastAsia"/>
          <w:b/>
          <w:bCs/>
          <w:sz w:val="36"/>
        </w:rPr>
        <w:t>《X射线荧光法钙铁含量分析仪</w:t>
      </w:r>
      <w:r>
        <w:rPr>
          <w:rFonts w:hint="eastAsia"/>
          <w:b/>
          <w:sz w:val="36"/>
          <w:szCs w:val="36"/>
        </w:rPr>
        <w:t>校准规范</w:t>
      </w:r>
      <w:r>
        <w:rPr>
          <w:rFonts w:hint="eastAsia"/>
          <w:b/>
          <w:bCs/>
          <w:sz w:val="36"/>
        </w:rPr>
        <w:t>》</w:t>
      </w:r>
    </w:p>
    <w:p>
      <w:pPr>
        <w:jc w:val="center"/>
        <w:rPr>
          <w:b/>
          <w:bCs/>
          <w:sz w:val="36"/>
        </w:rPr>
      </w:pPr>
      <w:r>
        <w:rPr>
          <w:rFonts w:hint="eastAsia"/>
          <w:b/>
          <w:bCs/>
          <w:sz w:val="36"/>
        </w:rPr>
        <w:t>编制说明</w:t>
      </w:r>
    </w:p>
    <w:p>
      <w:pPr>
        <w:rPr>
          <w:b/>
          <w:bCs/>
          <w:sz w:val="24"/>
        </w:rPr>
      </w:pPr>
      <w:r>
        <w:rPr>
          <w:rFonts w:hint="eastAsia"/>
          <w:sz w:val="24"/>
        </w:rPr>
        <w:t>一、</w:t>
      </w:r>
      <w:r>
        <w:rPr>
          <w:rFonts w:hint="eastAsia"/>
          <w:b/>
          <w:bCs/>
          <w:sz w:val="24"/>
        </w:rPr>
        <w:t>任务来源</w:t>
      </w:r>
    </w:p>
    <w:p>
      <w:pPr>
        <w:spacing w:line="360" w:lineRule="auto"/>
        <w:ind w:firstLine="480"/>
        <w:rPr>
          <w:sz w:val="24"/>
        </w:rPr>
      </w:pPr>
      <w:r>
        <w:rPr>
          <w:rFonts w:hint="eastAsia"/>
          <w:sz w:val="24"/>
        </w:rPr>
        <w:t>根据河南省市场监督管理局</w:t>
      </w:r>
      <w:r>
        <w:rPr>
          <w:rFonts w:hint="eastAsia"/>
          <w:sz w:val="24"/>
          <w:lang w:val="en-US" w:eastAsia="zh-CN"/>
        </w:rPr>
        <w:t>办公室</w:t>
      </w:r>
      <w:r>
        <w:rPr>
          <w:rFonts w:hint="eastAsia"/>
          <w:sz w:val="24"/>
        </w:rPr>
        <w:t>《关于印发202</w:t>
      </w:r>
      <w:r>
        <w:rPr>
          <w:rFonts w:hint="eastAsia"/>
          <w:sz w:val="24"/>
          <w:lang w:val="en-US" w:eastAsia="zh-CN"/>
        </w:rPr>
        <w:t>5</w:t>
      </w:r>
      <w:r>
        <w:rPr>
          <w:rFonts w:hint="eastAsia"/>
          <w:sz w:val="24"/>
        </w:rPr>
        <w:t>年度河南省地方计量技术</w:t>
      </w:r>
      <w:r>
        <w:rPr>
          <w:rFonts w:hint="eastAsia"/>
          <w:sz w:val="24"/>
          <w:lang w:val="en-US" w:eastAsia="zh-CN"/>
        </w:rPr>
        <w:t>规范</w:t>
      </w:r>
      <w:r>
        <w:rPr>
          <w:rFonts w:hint="eastAsia"/>
          <w:sz w:val="24"/>
        </w:rPr>
        <w:t>制修</w:t>
      </w:r>
      <w:r>
        <w:rPr>
          <w:rFonts w:hint="eastAsia"/>
          <w:sz w:val="24"/>
          <w:lang w:val="en-US" w:eastAsia="zh-CN"/>
        </w:rPr>
        <w:t>订</w:t>
      </w:r>
      <w:r>
        <w:rPr>
          <w:rFonts w:hint="eastAsia"/>
          <w:sz w:val="24"/>
        </w:rPr>
        <w:t>计划项目的通知》（豫市监办[202</w:t>
      </w:r>
      <w:r>
        <w:rPr>
          <w:rFonts w:hint="eastAsia"/>
          <w:sz w:val="24"/>
          <w:lang w:val="en-US" w:eastAsia="zh-CN"/>
        </w:rPr>
        <w:t>5</w:t>
      </w:r>
      <w:r>
        <w:rPr>
          <w:rFonts w:hint="eastAsia"/>
          <w:sz w:val="24"/>
        </w:rPr>
        <w:t>]6</w:t>
      </w:r>
      <w:r>
        <w:rPr>
          <w:rFonts w:hint="eastAsia"/>
          <w:sz w:val="24"/>
          <w:lang w:val="en-US" w:eastAsia="zh-CN"/>
        </w:rPr>
        <w:t>4</w:t>
      </w:r>
      <w:r>
        <w:rPr>
          <w:rFonts w:hint="eastAsia"/>
          <w:sz w:val="24"/>
        </w:rPr>
        <w:t>号）</w:t>
      </w:r>
      <w:r>
        <w:rPr>
          <w:kern w:val="0"/>
          <w:sz w:val="24"/>
        </w:rPr>
        <w:t>，</w:t>
      </w:r>
      <w:r>
        <w:rPr>
          <w:sz w:val="24"/>
        </w:rPr>
        <w:t>由</w:t>
      </w:r>
      <w:r>
        <w:rPr>
          <w:rFonts w:hint="eastAsia"/>
          <w:sz w:val="24"/>
        </w:rPr>
        <w:t>开封市产品质量检验检测中心作为主要起草单位，河南省开封生态环境监测中心、河南省平顶山生态环境监测中心、中检华中计量检测（河南）有限公司作为起草单位，共同承担《X射线荧光法钙铁含量分析仪校准规范》制定工作，</w:t>
      </w:r>
      <w:r>
        <w:rPr>
          <w:rFonts w:hint="eastAsia"/>
          <w:bCs/>
          <w:sz w:val="24"/>
        </w:rPr>
        <w:t>本规范是首次制定的地方计量校准规范</w:t>
      </w:r>
      <w:r>
        <w:rPr>
          <w:rFonts w:hint="eastAsia"/>
          <w:sz w:val="24"/>
        </w:rPr>
        <w:t>。</w:t>
      </w:r>
    </w:p>
    <w:p>
      <w:pPr>
        <w:numPr>
          <w:ilvl w:val="0"/>
          <w:numId w:val="2"/>
        </w:numPr>
        <w:spacing w:line="360" w:lineRule="auto"/>
        <w:rPr>
          <w:rFonts w:hint="eastAsia" w:ascii="宋体" w:hAnsi="宋体"/>
          <w:b/>
          <w:sz w:val="24"/>
        </w:rPr>
      </w:pPr>
      <w:r>
        <w:rPr>
          <w:rFonts w:hint="eastAsia" w:ascii="宋体" w:hAnsi="宋体"/>
          <w:b/>
          <w:bCs/>
          <w:sz w:val="24"/>
        </w:rPr>
        <w:t>编制规范的</w:t>
      </w:r>
      <w:r>
        <w:rPr>
          <w:rFonts w:hint="eastAsia" w:ascii="宋体" w:hAnsi="宋体"/>
          <w:b/>
          <w:sz w:val="24"/>
        </w:rPr>
        <w:t>目的和意义</w:t>
      </w:r>
    </w:p>
    <w:p>
      <w:pPr>
        <w:spacing w:line="360" w:lineRule="auto"/>
        <w:ind w:firstLine="480" w:firstLineChars="200"/>
        <w:rPr>
          <w:rFonts w:hint="eastAsia"/>
          <w:bCs/>
          <w:sz w:val="24"/>
        </w:rPr>
      </w:pPr>
      <w:r>
        <w:rPr>
          <w:rFonts w:hint="eastAsia"/>
          <w:bCs/>
          <w:sz w:val="24"/>
        </w:rPr>
        <w:t>作为冶金、化工、建材、医药、农业及环保等行业的基础原料，石灰石具有应用范围广、使用量大的特点，尤其在水泥生产和火力发电脱硫过程中，石灰石是不可缺少的重要原料，物料中CaO、Fe2O3的含量直接影响水泥质量及电厂脱硫效率。</w:t>
      </w:r>
    </w:p>
    <w:p>
      <w:pPr>
        <w:spacing w:line="360" w:lineRule="auto"/>
        <w:ind w:firstLine="480" w:firstLineChars="200"/>
        <w:rPr>
          <w:bCs/>
          <w:sz w:val="24"/>
        </w:rPr>
      </w:pPr>
      <w:r>
        <w:rPr>
          <w:rFonts w:hint="eastAsia"/>
          <w:bCs/>
          <w:sz w:val="24"/>
        </w:rPr>
        <w:t>X射线荧光法钙铁含量分析仪主要用于测量水泥生产过程中的生料、熟料、原材料和水泥中的CaO、Fe2O3含量测量，同时还可对水泥中混合材料的掺入量进行分析；也用于火力发电厂脱硫石粉原料中的CaO、Fe2O3含量测量，并且在化工、造纸等行业应用也日趋广泛。</w:t>
      </w:r>
    </w:p>
    <w:p>
      <w:pPr>
        <w:spacing w:line="360" w:lineRule="auto"/>
        <w:ind w:firstLine="480" w:firstLineChars="200"/>
        <w:rPr>
          <w:rFonts w:hint="eastAsia"/>
          <w:bCs/>
          <w:sz w:val="24"/>
          <w:highlight w:val="none"/>
        </w:rPr>
      </w:pPr>
      <w:r>
        <w:rPr>
          <w:rFonts w:hint="eastAsia"/>
          <w:bCs/>
          <w:sz w:val="24"/>
          <w:highlight w:val="none"/>
        </w:rPr>
        <w:t>然而目前尚无计量法规对X射线荧光法钙铁含量分析仪的关键参数做出要求，因此，亟需制定统一的技术规范来确保各机构开展校准时采取统一的技术要求和规范操作，从而保证检测数据的准确可靠和量值有效溯源。。</w:t>
      </w:r>
    </w:p>
    <w:p>
      <w:pPr>
        <w:spacing w:line="360" w:lineRule="auto"/>
        <w:rPr>
          <w:rFonts w:hint="eastAsia" w:ascii="宋体" w:hAnsi="宋体"/>
          <w:b/>
          <w:bCs/>
          <w:sz w:val="24"/>
        </w:rPr>
      </w:pPr>
      <w:r>
        <w:rPr>
          <w:rFonts w:hint="eastAsia" w:ascii="宋体" w:hAnsi="宋体"/>
          <w:b/>
          <w:bCs/>
          <w:sz w:val="24"/>
        </w:rPr>
        <w:t>三、编制过程</w:t>
      </w:r>
    </w:p>
    <w:p>
      <w:pPr>
        <w:spacing w:line="360" w:lineRule="auto"/>
        <w:ind w:firstLine="480"/>
        <w:rPr>
          <w:sz w:val="24"/>
        </w:rPr>
      </w:pPr>
      <w:r>
        <w:rPr>
          <w:sz w:val="24"/>
        </w:rPr>
        <w:t>本规范由</w:t>
      </w:r>
      <w:r>
        <w:rPr>
          <w:rFonts w:hint="eastAsia"/>
          <w:sz w:val="24"/>
        </w:rPr>
        <w:t>开封市产品质量检验检测中心</w:t>
      </w:r>
      <w:r>
        <w:rPr>
          <w:sz w:val="24"/>
        </w:rPr>
        <w:t>负责，与</w:t>
      </w:r>
      <w:r>
        <w:rPr>
          <w:rFonts w:hint="eastAsia"/>
          <w:sz w:val="24"/>
        </w:rPr>
        <w:t>河南省开封生态环境监测中心、河南省平顶山生态环境监测中心、中检华中计量检测（河南）有限公司</w:t>
      </w:r>
      <w:r>
        <w:rPr>
          <w:sz w:val="24"/>
        </w:rPr>
        <w:t>共同起草。</w:t>
      </w:r>
      <w:r>
        <w:rPr>
          <w:rFonts w:hint="eastAsia"/>
          <w:sz w:val="24"/>
        </w:rPr>
        <w:t>规范起草小组在接到任务后成立了规范制定起草小组，拟定了工作方案并进行了人员分工。</w:t>
      </w:r>
    </w:p>
    <w:p>
      <w:pPr>
        <w:spacing w:line="360" w:lineRule="auto"/>
        <w:ind w:firstLine="480"/>
        <w:rPr>
          <w:sz w:val="24"/>
        </w:rPr>
      </w:pPr>
      <w:r>
        <w:rPr>
          <w:sz w:val="24"/>
        </w:rPr>
        <w:t>202</w:t>
      </w:r>
      <w:r>
        <w:rPr>
          <w:rFonts w:hint="eastAsia"/>
          <w:sz w:val="24"/>
          <w:lang w:val="en-US" w:eastAsia="zh-CN"/>
        </w:rPr>
        <w:t>5</w:t>
      </w:r>
      <w:r>
        <w:rPr>
          <w:sz w:val="24"/>
        </w:rPr>
        <w:t>年</w:t>
      </w:r>
      <w:r>
        <w:rPr>
          <w:rFonts w:hint="eastAsia"/>
          <w:sz w:val="24"/>
          <w:lang w:val="en-US" w:eastAsia="zh-CN"/>
        </w:rPr>
        <w:t>1</w:t>
      </w:r>
      <w:r>
        <w:rPr>
          <w:sz w:val="24"/>
        </w:rPr>
        <w:t>月至202</w:t>
      </w:r>
      <w:r>
        <w:rPr>
          <w:rFonts w:hint="eastAsia"/>
          <w:sz w:val="24"/>
          <w:lang w:val="en-US" w:eastAsia="zh-CN"/>
        </w:rPr>
        <w:t>5</w:t>
      </w:r>
      <w:r>
        <w:rPr>
          <w:sz w:val="24"/>
        </w:rPr>
        <w:t>年</w:t>
      </w:r>
      <w:r>
        <w:rPr>
          <w:rFonts w:hint="eastAsia"/>
          <w:sz w:val="24"/>
          <w:lang w:val="en-US" w:eastAsia="zh-CN"/>
        </w:rPr>
        <w:t>5</w:t>
      </w:r>
      <w:r>
        <w:rPr>
          <w:sz w:val="24"/>
        </w:rPr>
        <w:t>月，起草小组人员积极查阅国内外标准、文献，搜集生产厂家技术指标等，调查市场上主流品牌、统计用户关心的计量特性参数。</w:t>
      </w:r>
    </w:p>
    <w:p>
      <w:pPr>
        <w:pStyle w:val="26"/>
        <w:spacing w:after="0" w:line="360" w:lineRule="auto"/>
        <w:ind w:firstLine="480" w:firstLineChars="200"/>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rPr>
        <w:t>2024年</w:t>
      </w:r>
      <w:r>
        <w:rPr>
          <w:rFonts w:hint="eastAsia" w:ascii="Times New Roman" w:hAnsi="Times New Roman" w:cs="Times New Roman"/>
          <w:sz w:val="24"/>
          <w:szCs w:val="24"/>
          <w:lang w:val="en-US" w:eastAsia="zh-CN"/>
        </w:rPr>
        <w:t>6</w:t>
      </w:r>
      <w:r>
        <w:rPr>
          <w:rFonts w:ascii="Times New Roman" w:hAnsi="Times New Roman" w:cs="Times New Roman"/>
          <w:sz w:val="24"/>
          <w:szCs w:val="24"/>
          <w:lang w:val="en-US" w:eastAsia="zh-CN"/>
        </w:rPr>
        <w:t>月至2024年</w:t>
      </w:r>
      <w:r>
        <w:rPr>
          <w:rFonts w:hint="eastAsia" w:ascii="Times New Roman" w:hAnsi="Times New Roman" w:cs="Times New Roman"/>
          <w:sz w:val="24"/>
          <w:szCs w:val="24"/>
          <w:lang w:val="en-US" w:eastAsia="zh-CN"/>
        </w:rPr>
        <w:t>8</w:t>
      </w:r>
      <w:r>
        <w:rPr>
          <w:rFonts w:ascii="Times New Roman" w:hAnsi="Times New Roman" w:cs="Times New Roman"/>
          <w:sz w:val="24"/>
          <w:szCs w:val="24"/>
          <w:lang w:val="en-US" w:eastAsia="zh-CN"/>
        </w:rPr>
        <w:t>月，起草小组针对不同厂家、型号的</w:t>
      </w:r>
      <w:r>
        <w:rPr>
          <w:rFonts w:hint="eastAsia"/>
          <w:sz w:val="24"/>
        </w:rPr>
        <w:t>X射线荧光法钙铁含量分析仪</w:t>
      </w:r>
      <w:r>
        <w:rPr>
          <w:rFonts w:ascii="Times New Roman" w:hAnsi="Times New Roman" w:cs="Times New Roman"/>
          <w:sz w:val="24"/>
          <w:szCs w:val="24"/>
          <w:lang w:val="en-US" w:eastAsia="zh-CN"/>
        </w:rPr>
        <w:t>进行试验，研究合适的校准项目、校准方法和计量特性，验证方法</w:t>
      </w:r>
      <w:r>
        <w:rPr>
          <w:rFonts w:ascii="Times New Roman" w:hAnsi="Times New Roman" w:cs="Times New Roman"/>
          <w:sz w:val="24"/>
          <w:szCs w:val="24"/>
          <w:lang w:val="en-US" w:eastAsia="zh-CN" w:bidi="ar-SA"/>
        </w:rPr>
        <w:t>和指标的可行性、适用性，在参考相关技术文件的基础上起草了《</w:t>
      </w:r>
      <w:r>
        <w:rPr>
          <w:rFonts w:hint="eastAsia"/>
          <w:sz w:val="24"/>
        </w:rPr>
        <w:t>X射线荧光法钙铁含量分析仪</w:t>
      </w:r>
      <w:r>
        <w:rPr>
          <w:rFonts w:ascii="Times New Roman" w:hAnsi="Times New Roman" w:cs="Times New Roman"/>
          <w:sz w:val="24"/>
          <w:szCs w:val="24"/>
          <w:lang w:val="en-US" w:eastAsia="zh-CN" w:bidi="ar-SA"/>
        </w:rPr>
        <w:t>校准规范》草稿。</w:t>
      </w:r>
    </w:p>
    <w:p>
      <w:pPr>
        <w:pStyle w:val="26"/>
        <w:spacing w:after="0" w:line="360" w:lineRule="auto"/>
        <w:ind w:firstLine="480" w:firstLineChars="200"/>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2024年</w:t>
      </w:r>
      <w:r>
        <w:rPr>
          <w:rFonts w:hint="eastAsia" w:ascii="Times New Roman" w:hAnsi="Times New Roman" w:cs="Times New Roman"/>
          <w:sz w:val="24"/>
          <w:szCs w:val="24"/>
          <w:lang w:val="en-US" w:eastAsia="zh-CN" w:bidi="ar-SA"/>
        </w:rPr>
        <w:t>9</w:t>
      </w:r>
      <w:r>
        <w:rPr>
          <w:rFonts w:ascii="Times New Roman" w:hAnsi="Times New Roman" w:cs="Times New Roman"/>
          <w:sz w:val="24"/>
          <w:szCs w:val="24"/>
          <w:lang w:val="en-US" w:eastAsia="zh-CN" w:bidi="ar-SA"/>
        </w:rPr>
        <w:t>月至</w:t>
      </w:r>
      <w:r>
        <w:rPr>
          <w:rFonts w:hint="eastAsia" w:ascii="Times New Roman" w:hAnsi="Times New Roman" w:cs="Times New Roman"/>
          <w:sz w:val="24"/>
          <w:szCs w:val="24"/>
          <w:lang w:val="en-US" w:eastAsia="zh-CN" w:bidi="ar-SA"/>
        </w:rPr>
        <w:t>10</w:t>
      </w:r>
      <w:r>
        <w:rPr>
          <w:rFonts w:ascii="Times New Roman" w:hAnsi="Times New Roman" w:cs="Times New Roman"/>
          <w:sz w:val="24"/>
          <w:szCs w:val="24"/>
          <w:lang w:val="en-US" w:eastAsia="zh-CN" w:bidi="ar-SA"/>
        </w:rPr>
        <w:t>月，通过规范起草小组进一步讨论和完善，形成《</w:t>
      </w:r>
      <w:r>
        <w:rPr>
          <w:rFonts w:hint="eastAsia"/>
          <w:sz w:val="24"/>
        </w:rPr>
        <w:t>X射线荧光法钙铁含量分析仪</w:t>
      </w:r>
      <w:r>
        <w:rPr>
          <w:rFonts w:ascii="Times New Roman" w:hAnsi="Times New Roman" w:cs="Times New Roman"/>
          <w:sz w:val="24"/>
          <w:szCs w:val="24"/>
          <w:lang w:val="en-US" w:eastAsia="zh-CN" w:bidi="ar-SA"/>
        </w:rPr>
        <w:t>校准规范》征求意见稿。</w:t>
      </w:r>
    </w:p>
    <w:p>
      <w:pPr>
        <w:spacing w:line="360" w:lineRule="auto"/>
        <w:ind w:firstLine="480" w:firstLineChars="200"/>
        <w:rPr>
          <w:bCs/>
          <w:sz w:val="24"/>
        </w:rPr>
      </w:pPr>
      <w:r>
        <w:rPr>
          <w:sz w:val="24"/>
        </w:rPr>
        <w:t>202</w:t>
      </w:r>
      <w:r>
        <w:rPr>
          <w:rFonts w:hint="eastAsia"/>
          <w:sz w:val="24"/>
        </w:rPr>
        <w:t>4</w:t>
      </w:r>
      <w:r>
        <w:rPr>
          <w:sz w:val="24"/>
        </w:rPr>
        <w:t>年11月至12月，向</w:t>
      </w:r>
      <w:r>
        <w:rPr>
          <w:rFonts w:hint="eastAsia"/>
          <w:sz w:val="24"/>
        </w:rPr>
        <w:t>计量行业、</w:t>
      </w:r>
      <w:r>
        <w:rPr>
          <w:rFonts w:hint="eastAsia"/>
          <w:sz w:val="24"/>
          <w:lang w:val="en-US" w:eastAsia="zh-CN"/>
        </w:rPr>
        <w:t>水泥</w:t>
      </w:r>
      <w:r>
        <w:rPr>
          <w:rFonts w:hint="eastAsia"/>
          <w:sz w:val="24"/>
        </w:rPr>
        <w:t>品质检测行业</w:t>
      </w:r>
      <w:r>
        <w:rPr>
          <w:sz w:val="24"/>
        </w:rPr>
        <w:t>的专家及使用单位征求意见。</w:t>
      </w:r>
    </w:p>
    <w:p>
      <w:pPr>
        <w:spacing w:line="360" w:lineRule="auto"/>
        <w:rPr>
          <w:rFonts w:hint="eastAsia" w:ascii="宋体" w:hAnsi="宋体"/>
          <w:b/>
          <w:bCs/>
          <w:sz w:val="24"/>
        </w:rPr>
      </w:pPr>
      <w:r>
        <w:rPr>
          <w:rFonts w:hint="eastAsia" w:ascii="宋体" w:hAnsi="宋体"/>
          <w:b/>
          <w:bCs/>
          <w:sz w:val="24"/>
        </w:rPr>
        <w:t>三、引用文件</w:t>
      </w:r>
    </w:p>
    <w:p>
      <w:pPr>
        <w:spacing w:line="360" w:lineRule="auto"/>
        <w:ind w:firstLine="480" w:firstLineChars="200"/>
        <w:rPr>
          <w:rFonts w:hint="eastAsia" w:ascii="宋体" w:hAnsi="宋体"/>
          <w:sz w:val="24"/>
        </w:rPr>
      </w:pPr>
      <w:r>
        <w:rPr>
          <w:rFonts w:hint="eastAsia" w:ascii="宋体" w:hAnsi="宋体"/>
          <w:sz w:val="24"/>
        </w:rPr>
        <w:t>本规范引用下列文件：</w:t>
      </w:r>
    </w:p>
    <w:p>
      <w:pPr>
        <w:spacing w:line="360" w:lineRule="auto"/>
        <w:ind w:left="120" w:leftChars="57" w:firstLine="360" w:firstLineChars="150"/>
        <w:rPr>
          <w:sz w:val="24"/>
        </w:rPr>
      </w:pPr>
      <w:r>
        <w:rPr>
          <w:rFonts w:hint="eastAsia"/>
          <w:sz w:val="24"/>
        </w:rPr>
        <w:t>1</w:t>
      </w:r>
      <w:r>
        <w:rPr>
          <w:sz w:val="24"/>
        </w:rPr>
        <w:t>、JJF 1001</w:t>
      </w:r>
      <w:r>
        <w:rPr>
          <w:rFonts w:hint="eastAsia"/>
          <w:bCs/>
          <w:sz w:val="24"/>
        </w:rPr>
        <w:t>—</w:t>
      </w:r>
      <w:r>
        <w:rPr>
          <w:sz w:val="24"/>
        </w:rPr>
        <w:t>2011 《通用计量术语及定义》</w:t>
      </w:r>
    </w:p>
    <w:p>
      <w:pPr>
        <w:spacing w:line="360" w:lineRule="auto"/>
        <w:ind w:left="120" w:leftChars="57" w:firstLine="360" w:firstLineChars="150"/>
        <w:rPr>
          <w:sz w:val="24"/>
        </w:rPr>
      </w:pPr>
      <w:r>
        <w:rPr>
          <w:rFonts w:hint="eastAsia"/>
          <w:sz w:val="24"/>
        </w:rPr>
        <w:t>2</w:t>
      </w:r>
      <w:r>
        <w:rPr>
          <w:sz w:val="24"/>
        </w:rPr>
        <w:t>、JJF 1059.1</w:t>
      </w:r>
      <w:r>
        <w:rPr>
          <w:rFonts w:hint="eastAsia"/>
          <w:bCs/>
          <w:sz w:val="24"/>
        </w:rPr>
        <w:t>—</w:t>
      </w:r>
      <w:r>
        <w:rPr>
          <w:sz w:val="24"/>
        </w:rPr>
        <w:t>2012 《测量不确定度评定与表示》</w:t>
      </w:r>
    </w:p>
    <w:p>
      <w:pPr>
        <w:spacing w:line="360" w:lineRule="auto"/>
        <w:ind w:firstLine="480" w:firstLineChars="200"/>
        <w:rPr>
          <w:sz w:val="24"/>
          <w:highlight w:val="none"/>
        </w:rPr>
      </w:pPr>
      <w:r>
        <w:rPr>
          <w:rFonts w:hint="eastAsia"/>
          <w:sz w:val="24"/>
          <w:highlight w:val="none"/>
        </w:rPr>
        <w:t>3</w:t>
      </w:r>
      <w:r>
        <w:rPr>
          <w:sz w:val="24"/>
          <w:highlight w:val="none"/>
        </w:rPr>
        <w:t>、JJF 1071</w:t>
      </w:r>
      <w:r>
        <w:rPr>
          <w:rFonts w:hint="eastAsia"/>
          <w:bCs/>
          <w:sz w:val="24"/>
          <w:highlight w:val="none"/>
        </w:rPr>
        <w:t>—</w:t>
      </w:r>
      <w:r>
        <w:rPr>
          <w:sz w:val="24"/>
          <w:highlight w:val="none"/>
        </w:rPr>
        <w:t>2010《国家计量校准规范编写规则》</w:t>
      </w:r>
    </w:p>
    <w:p>
      <w:pPr>
        <w:spacing w:line="360" w:lineRule="auto"/>
        <w:ind w:firstLine="480" w:firstLineChars="200"/>
        <w:rPr>
          <w:rFonts w:hint="eastAsia"/>
          <w:sz w:val="24"/>
          <w:highlight w:val="none"/>
        </w:rPr>
      </w:pPr>
      <w:r>
        <w:rPr>
          <w:rFonts w:hint="eastAsia"/>
          <w:sz w:val="24"/>
          <w:highlight w:val="none"/>
          <w:lang w:val="en-US" w:eastAsia="zh-CN"/>
        </w:rPr>
        <w:t>4、</w:t>
      </w:r>
      <w:r>
        <w:rPr>
          <w:rFonts w:hint="eastAsia"/>
          <w:sz w:val="24"/>
          <w:highlight w:val="none"/>
        </w:rPr>
        <w:t xml:space="preserve">JJF 2024-2023 </w:t>
      </w:r>
      <w:r>
        <w:rPr>
          <w:rFonts w:hint="eastAsia"/>
          <w:sz w:val="24"/>
          <w:highlight w:val="none"/>
          <w:lang w:eastAsia="zh-CN"/>
        </w:rPr>
        <w:t>《能量色散X射线荧光光谱仪校准规范》</w:t>
      </w:r>
    </w:p>
    <w:p>
      <w:pPr>
        <w:spacing w:line="360" w:lineRule="auto"/>
        <w:ind w:firstLine="480" w:firstLineChars="200"/>
        <w:rPr>
          <w:rFonts w:hint="eastAsia"/>
          <w:sz w:val="24"/>
          <w:highlight w:val="none"/>
        </w:rPr>
      </w:pPr>
      <w:r>
        <w:rPr>
          <w:rFonts w:hint="eastAsia"/>
          <w:sz w:val="24"/>
          <w:highlight w:val="none"/>
          <w:lang w:val="en-US" w:eastAsia="zh-CN"/>
        </w:rPr>
        <w:t>5、</w:t>
      </w:r>
      <w:r>
        <w:rPr>
          <w:rFonts w:hint="eastAsia"/>
          <w:sz w:val="24"/>
          <w:highlight w:val="none"/>
        </w:rPr>
        <w:t>GB/T 176-2017</w:t>
      </w:r>
      <w:r>
        <w:rPr>
          <w:rFonts w:hint="eastAsia"/>
          <w:sz w:val="24"/>
          <w:highlight w:val="none"/>
          <w:lang w:eastAsia="zh-CN"/>
        </w:rPr>
        <w:t>《水泥化学分析方法》</w:t>
      </w:r>
    </w:p>
    <w:p>
      <w:pPr>
        <w:spacing w:line="360" w:lineRule="auto"/>
        <w:ind w:firstLine="480" w:firstLineChars="200"/>
        <w:rPr>
          <w:sz w:val="24"/>
          <w:highlight w:val="none"/>
        </w:rPr>
      </w:pPr>
      <w:r>
        <w:rPr>
          <w:rFonts w:hint="eastAsia"/>
          <w:sz w:val="24"/>
          <w:highlight w:val="none"/>
          <w:lang w:val="en-US" w:eastAsia="zh-CN"/>
        </w:rPr>
        <w:t>6、</w:t>
      </w:r>
      <w:r>
        <w:rPr>
          <w:rFonts w:hint="eastAsia"/>
          <w:sz w:val="24"/>
          <w:highlight w:val="none"/>
        </w:rPr>
        <w:t>JC/T 1085-2008</w:t>
      </w:r>
      <w:r>
        <w:rPr>
          <w:rFonts w:hint="eastAsia"/>
          <w:sz w:val="24"/>
          <w:highlight w:val="none"/>
          <w:lang w:eastAsia="zh-CN"/>
        </w:rPr>
        <w:t>《</w:t>
      </w:r>
      <w:r>
        <w:rPr>
          <w:rFonts w:hint="eastAsia"/>
          <w:sz w:val="24"/>
          <w:highlight w:val="none"/>
        </w:rPr>
        <w:t>水泥用X射线荧光分析仪</w:t>
      </w:r>
      <w:r>
        <w:rPr>
          <w:rFonts w:hint="eastAsia"/>
          <w:sz w:val="24"/>
          <w:highlight w:val="none"/>
          <w:lang w:eastAsia="zh-CN"/>
        </w:rPr>
        <w:t>》</w:t>
      </w:r>
    </w:p>
    <w:p>
      <w:pPr>
        <w:spacing w:line="360" w:lineRule="auto"/>
        <w:rPr>
          <w:rFonts w:hint="eastAsia" w:ascii="宋体" w:hAnsi="宋体"/>
          <w:b/>
          <w:bCs/>
          <w:sz w:val="24"/>
        </w:rPr>
      </w:pPr>
      <w:r>
        <w:rPr>
          <w:rFonts w:hint="eastAsia" w:ascii="宋体" w:hAnsi="宋体"/>
          <w:b/>
          <w:bCs/>
          <w:sz w:val="24"/>
        </w:rPr>
        <w:t>五、编制的主要内容</w:t>
      </w:r>
    </w:p>
    <w:p>
      <w:pPr>
        <w:spacing w:line="360" w:lineRule="auto"/>
        <w:rPr>
          <w:bCs/>
          <w:sz w:val="24"/>
        </w:rPr>
      </w:pPr>
      <w:r>
        <w:rPr>
          <w:rFonts w:hint="eastAsia"/>
          <w:bCs/>
          <w:sz w:val="24"/>
        </w:rPr>
        <w:t>5.1</w:t>
      </w:r>
      <w:r>
        <w:rPr>
          <w:rFonts w:hint="eastAsia"/>
          <w:sz w:val="24"/>
        </w:rPr>
        <w:t>主要内容</w:t>
      </w:r>
    </w:p>
    <w:p>
      <w:pPr>
        <w:spacing w:line="360" w:lineRule="auto"/>
        <w:ind w:firstLine="480" w:firstLineChars="200"/>
        <w:rPr>
          <w:bCs/>
          <w:sz w:val="24"/>
        </w:rPr>
      </w:pPr>
      <w:r>
        <w:rPr>
          <w:rFonts w:hint="eastAsia" w:ascii="宋体" w:hAnsi="宋体"/>
          <w:sz w:val="24"/>
        </w:rPr>
        <w:t>按照国家计量校准规范编制要求，本规范内容结构上分为九个部分，分别是第一章节范围、第二章节引用文件、第三章节术语和计量单位、第四章节概述、第五章节计量特性、第六章节校准条件、第七章节校准项目和校准方法、第八章节校准结果表达、第九章节复校时间间隔以及附录。</w:t>
      </w:r>
    </w:p>
    <w:p>
      <w:pPr>
        <w:spacing w:line="360" w:lineRule="auto"/>
        <w:rPr>
          <w:sz w:val="24"/>
        </w:rPr>
      </w:pPr>
      <w:r>
        <w:rPr>
          <w:rFonts w:hint="eastAsia"/>
          <w:sz w:val="24"/>
        </w:rPr>
        <w:t>5</w:t>
      </w:r>
      <w:r>
        <w:rPr>
          <w:sz w:val="24"/>
        </w:rPr>
        <w:t>.</w:t>
      </w:r>
      <w:r>
        <w:rPr>
          <w:rFonts w:hint="eastAsia"/>
          <w:sz w:val="24"/>
        </w:rPr>
        <w:t>2</w:t>
      </w:r>
      <w:r>
        <w:rPr>
          <w:sz w:val="24"/>
        </w:rPr>
        <w:t>范围</w:t>
      </w:r>
    </w:p>
    <w:p>
      <w:pPr>
        <w:spacing w:line="360" w:lineRule="auto"/>
        <w:ind w:firstLine="480" w:firstLineChars="200"/>
        <w:rPr>
          <w:rFonts w:hint="eastAsia" w:ascii="宋体" w:hAnsi="宋体"/>
          <w:sz w:val="24"/>
        </w:rPr>
      </w:pPr>
      <w:r>
        <w:rPr>
          <w:rFonts w:hint="eastAsia" w:ascii="宋体" w:hAnsi="宋体"/>
          <w:sz w:val="24"/>
        </w:rPr>
        <w:t>本规范适用于测量原理为X射线荧光法的钙铁含量分析仪的校准。</w:t>
      </w:r>
    </w:p>
    <w:p>
      <w:pPr>
        <w:spacing w:line="360" w:lineRule="auto"/>
        <w:rPr>
          <w:sz w:val="24"/>
        </w:rPr>
      </w:pPr>
      <w:r>
        <w:rPr>
          <w:rFonts w:hint="eastAsia"/>
          <w:sz w:val="24"/>
        </w:rPr>
        <w:t>5</w:t>
      </w:r>
      <w:r>
        <w:rPr>
          <w:sz w:val="24"/>
        </w:rPr>
        <w:t>.</w:t>
      </w:r>
      <w:r>
        <w:rPr>
          <w:rFonts w:hint="eastAsia"/>
          <w:sz w:val="24"/>
        </w:rPr>
        <w:t>3</w:t>
      </w:r>
      <w:r>
        <w:rPr>
          <w:sz w:val="24"/>
        </w:rPr>
        <w:t>计量特性</w:t>
      </w:r>
    </w:p>
    <w:p>
      <w:pPr>
        <w:spacing w:line="360" w:lineRule="auto"/>
        <w:ind w:firstLine="480" w:firstLineChars="200"/>
        <w:rPr>
          <w:rFonts w:hint="eastAsia" w:ascii="宋体" w:hAnsi="宋体" w:eastAsia="宋体"/>
          <w:sz w:val="24"/>
          <w:lang w:eastAsia="zh-CN"/>
        </w:rPr>
      </w:pPr>
      <w:r>
        <w:rPr>
          <w:rFonts w:hint="eastAsia" w:hAnsi="宋体"/>
          <w:sz w:val="24"/>
        </w:rPr>
        <w:t>X射线荧光法钙铁含量分析仪是将待测样品用激发源激发，产生特征X射线，然后通过探测器探测其能量特征X射线，根据探测器的输出信号确定被测样品中钙铁含量</w:t>
      </w:r>
      <w:r>
        <w:rPr>
          <w:sz w:val="24"/>
        </w:rPr>
        <w:t>。</w:t>
      </w:r>
      <w:r>
        <w:rPr>
          <w:rFonts w:hint="eastAsia" w:hAnsi="宋体"/>
          <w:sz w:val="24"/>
        </w:rPr>
        <w:t>分析仪主要有激发源、探测器、放大器及显示打印设备等组成，可直接显示钙铁含量值</w:t>
      </w:r>
      <w:r>
        <w:rPr>
          <w:rFonts w:hint="eastAsia" w:hAnsi="宋体"/>
          <w:sz w:val="24"/>
          <w:lang w:eastAsia="zh-CN"/>
        </w:rPr>
        <w:t>。</w:t>
      </w:r>
    </w:p>
    <w:p>
      <w:pPr>
        <w:spacing w:line="360" w:lineRule="auto"/>
        <w:ind w:firstLine="480" w:firstLineChars="200"/>
        <w:rPr>
          <w:rFonts w:hint="eastAsia"/>
          <w:color w:val="000000"/>
          <w:sz w:val="24"/>
        </w:rPr>
      </w:pPr>
      <w:r>
        <w:rPr>
          <w:rFonts w:hint="eastAsia"/>
          <w:color w:val="000000"/>
          <w:sz w:val="24"/>
        </w:rPr>
        <w:t>计量特性的设定：参考X射线荧光法钙铁含量分析仪的相关参数及行业标准要求，对X射线荧光法钙铁含量分析仪的校准项目及计量特性进行研究，制定校准规范。</w:t>
      </w:r>
    </w:p>
    <w:tbl>
      <w:tblPr>
        <w:tblStyle w:val="15"/>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6"/>
        <w:gridCol w:w="1375"/>
        <w:gridCol w:w="1388"/>
        <w:gridCol w:w="1415"/>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1" w:type="dxa"/>
            <w:vMerge w:val="restart"/>
            <w:vAlign w:val="center"/>
          </w:tcPr>
          <w:p>
            <w:pPr>
              <w:snapToGrid w:val="0"/>
              <w:jc w:val="center"/>
              <w:rPr>
                <w:rFonts w:ascii="宋体" w:hAnsi="宋体"/>
                <w:szCs w:val="21"/>
              </w:rPr>
            </w:pPr>
            <w:r>
              <w:rPr>
                <w:rFonts w:hint="eastAsia" w:ascii="宋体" w:hAnsi="宋体"/>
                <w:szCs w:val="21"/>
              </w:rPr>
              <w:t>校准项目</w:t>
            </w:r>
          </w:p>
        </w:tc>
        <w:tc>
          <w:tcPr>
            <w:tcW w:w="5799" w:type="dxa"/>
            <w:gridSpan w:val="4"/>
            <w:vAlign w:val="center"/>
          </w:tcPr>
          <w:p>
            <w:pPr>
              <w:snapToGrid w:val="0"/>
              <w:jc w:val="center"/>
              <w:rPr>
                <w:rFonts w:ascii="宋体" w:hAnsi="宋体"/>
                <w:szCs w:val="21"/>
              </w:rPr>
            </w:pPr>
            <w:r>
              <w:rPr>
                <w:rFonts w:hint="eastAsia" w:ascii="宋体" w:hAnsi="宋体"/>
                <w:szCs w:val="21"/>
              </w:rPr>
              <w:t>计量特性指标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1" w:type="dxa"/>
            <w:vMerge w:val="continue"/>
            <w:vAlign w:val="center"/>
          </w:tcPr>
          <w:p>
            <w:pPr>
              <w:snapToGrid w:val="0"/>
              <w:jc w:val="center"/>
              <w:rPr>
                <w:rFonts w:hint="eastAsia" w:ascii="宋体" w:hAnsi="宋体"/>
                <w:szCs w:val="21"/>
              </w:rPr>
            </w:pPr>
          </w:p>
        </w:tc>
        <w:tc>
          <w:tcPr>
            <w:tcW w:w="2899" w:type="dxa"/>
            <w:gridSpan w:val="2"/>
            <w:vAlign w:val="center"/>
          </w:tcPr>
          <w:p>
            <w:pPr>
              <w:snapToGrid w:val="0"/>
              <w:jc w:val="center"/>
              <w:rPr>
                <w:rFonts w:hint="eastAsia" w:ascii="宋体" w:hAnsi="宋体" w:eastAsia="宋体"/>
                <w:szCs w:val="21"/>
                <w:lang w:val="en-US" w:eastAsia="zh-CN"/>
              </w:rPr>
            </w:pPr>
            <w:r>
              <w:rPr>
                <w:rFonts w:hint="eastAsia" w:ascii="宋体" w:hAnsi="宋体"/>
                <w:szCs w:val="21"/>
                <w:lang w:val="en-US" w:eastAsia="zh-CN"/>
              </w:rPr>
              <w:t>钙</w:t>
            </w:r>
          </w:p>
        </w:tc>
        <w:tc>
          <w:tcPr>
            <w:tcW w:w="2900" w:type="dxa"/>
            <w:gridSpan w:val="2"/>
            <w:vAlign w:val="center"/>
          </w:tcPr>
          <w:p>
            <w:pPr>
              <w:snapToGrid w:val="0"/>
              <w:jc w:val="center"/>
              <w:rPr>
                <w:rFonts w:hint="eastAsia" w:ascii="宋体" w:hAnsi="宋体" w:eastAsia="宋体"/>
                <w:szCs w:val="21"/>
                <w:lang w:val="en-US" w:eastAsia="zh-CN"/>
              </w:rPr>
            </w:pPr>
            <w:r>
              <w:rPr>
                <w:rFonts w:hint="eastAsia" w:ascii="宋体" w:hAnsi="宋体"/>
                <w:szCs w:val="21"/>
                <w:lang w:val="en-US" w:eastAsia="zh-CN"/>
              </w:rPr>
              <w:t>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1" w:type="dxa"/>
            <w:vMerge w:val="continue"/>
            <w:vAlign w:val="center"/>
          </w:tcPr>
          <w:p>
            <w:pPr>
              <w:snapToGrid w:val="0"/>
              <w:jc w:val="center"/>
              <w:rPr>
                <w:rFonts w:hint="eastAsia" w:ascii="宋体" w:hAnsi="宋体"/>
                <w:szCs w:val="21"/>
              </w:rPr>
            </w:pPr>
          </w:p>
        </w:tc>
        <w:tc>
          <w:tcPr>
            <w:tcW w:w="1442" w:type="dxa"/>
            <w:vAlign w:val="center"/>
          </w:tcPr>
          <w:p>
            <w:pPr>
              <w:snapToGrid w:val="0"/>
              <w:jc w:val="center"/>
              <w:rPr>
                <w:rFonts w:hint="default" w:ascii="Times New Roman" w:hAnsi="Times New Roman" w:cs="Times New Roman"/>
                <w:szCs w:val="21"/>
                <w:lang w:val="en-US" w:eastAsia="zh-CN"/>
              </w:rPr>
            </w:pPr>
            <w:r>
              <w:rPr>
                <w:rFonts w:hint="eastAsia" w:ascii="宋体" w:hAnsi="宋体" w:eastAsia="宋体" w:cs="宋体"/>
                <w:szCs w:val="21"/>
                <w:lang w:val="en-US" w:eastAsia="zh-CN"/>
              </w:rPr>
              <w:t>≤</w:t>
            </w:r>
            <w:r>
              <w:rPr>
                <w:rFonts w:hint="eastAsia" w:cs="Times New Roman"/>
                <w:szCs w:val="21"/>
                <w:lang w:val="en-US" w:eastAsia="zh-CN"/>
              </w:rPr>
              <w:t>4</w:t>
            </w:r>
            <w:r>
              <w:rPr>
                <w:rFonts w:hint="default" w:ascii="Times New Roman" w:hAnsi="Times New Roman" w:cs="Times New Roman"/>
                <w:szCs w:val="21"/>
                <w:lang w:val="en-US" w:eastAsia="zh-CN"/>
              </w:rPr>
              <w:t>0%</w:t>
            </w:r>
          </w:p>
        </w:tc>
        <w:tc>
          <w:tcPr>
            <w:tcW w:w="1457" w:type="dxa"/>
            <w:vAlign w:val="center"/>
          </w:tcPr>
          <w:p>
            <w:pPr>
              <w:snapToGrid w:val="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r>
              <w:rPr>
                <w:rFonts w:hint="eastAsia" w:cs="Times New Roman"/>
                <w:szCs w:val="21"/>
                <w:lang w:val="en-US" w:eastAsia="zh-CN"/>
              </w:rPr>
              <w:t>4</w:t>
            </w:r>
            <w:r>
              <w:rPr>
                <w:rFonts w:hint="default" w:ascii="Times New Roman" w:hAnsi="Times New Roman" w:cs="Times New Roman"/>
                <w:szCs w:val="21"/>
                <w:lang w:val="en-US" w:eastAsia="zh-CN"/>
              </w:rPr>
              <w:t>0%</w:t>
            </w:r>
          </w:p>
        </w:tc>
        <w:tc>
          <w:tcPr>
            <w:tcW w:w="1489" w:type="dxa"/>
            <w:vAlign w:val="center"/>
          </w:tcPr>
          <w:p>
            <w:pPr>
              <w:snapToGrid w:val="0"/>
              <w:jc w:val="center"/>
              <w:rPr>
                <w:rFonts w:hint="default" w:ascii="Times New Roman" w:hAnsi="Times New Roman" w:cs="Times New Roman"/>
                <w:szCs w:val="21"/>
                <w:lang w:val="en-US" w:eastAsia="zh-CN"/>
              </w:rPr>
            </w:pPr>
            <w:r>
              <w:rPr>
                <w:rFonts w:hint="eastAsia" w:ascii="宋体" w:hAnsi="宋体" w:eastAsia="宋体" w:cs="宋体"/>
                <w:szCs w:val="21"/>
                <w:lang w:val="en-US" w:eastAsia="zh-CN"/>
              </w:rPr>
              <w:t>≤</w:t>
            </w:r>
            <w:r>
              <w:rPr>
                <w:rFonts w:hint="default" w:ascii="Times New Roman" w:hAnsi="Times New Roman" w:cs="Times New Roman"/>
                <w:szCs w:val="21"/>
                <w:lang w:val="en-US" w:eastAsia="zh-CN"/>
              </w:rPr>
              <w:t>0.3%</w:t>
            </w:r>
          </w:p>
        </w:tc>
        <w:tc>
          <w:tcPr>
            <w:tcW w:w="1411" w:type="dxa"/>
            <w:vAlign w:val="center"/>
          </w:tcPr>
          <w:p>
            <w:pPr>
              <w:snapToGrid w:val="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1" w:type="dxa"/>
            <w:vAlign w:val="center"/>
          </w:tcPr>
          <w:p>
            <w:pPr>
              <w:snapToGrid w:val="0"/>
              <w:jc w:val="center"/>
              <w:rPr>
                <w:rFonts w:ascii="宋体" w:hAnsi="宋体"/>
                <w:szCs w:val="21"/>
              </w:rPr>
            </w:pPr>
            <w:r>
              <w:rPr>
                <w:rFonts w:hint="eastAsia" w:ascii="宋体" w:hAnsi="宋体"/>
                <w:szCs w:val="21"/>
              </w:rPr>
              <w:t>示值误差</w:t>
            </w:r>
          </w:p>
        </w:tc>
        <w:tc>
          <w:tcPr>
            <w:tcW w:w="1442" w:type="dxa"/>
            <w:vAlign w:val="center"/>
          </w:tcPr>
          <w:p>
            <w:pPr>
              <w:snapToGrid w:val="0"/>
              <w:jc w:val="center"/>
              <w:rPr>
                <w:rFonts w:hint="default" w:ascii="Times New Roman" w:hAnsi="Times New Roman" w:cs="Times New Roman"/>
                <w:szCs w:val="21"/>
              </w:rPr>
            </w:pPr>
            <w:r>
              <w:rPr>
                <w:rFonts w:hint="eastAsia" w:ascii="宋体" w:hAnsi="宋体" w:eastAsia="宋体" w:cs="宋体"/>
                <w:szCs w:val="21"/>
              </w:rPr>
              <w:t>±</w:t>
            </w:r>
            <w:r>
              <w:rPr>
                <w:rFonts w:hint="default" w:ascii="Times New Roman" w:hAnsi="Times New Roman" w:cs="Times New Roman"/>
                <w:szCs w:val="21"/>
              </w:rPr>
              <w:t>0.</w:t>
            </w:r>
            <w:r>
              <w:rPr>
                <w:rFonts w:hint="eastAsia" w:ascii="Times New Roman" w:hAnsi="Times New Roman" w:cs="Times New Roman"/>
                <w:szCs w:val="21"/>
                <w:lang w:val="en-US" w:eastAsia="zh-CN"/>
              </w:rPr>
              <w:t>25</w:t>
            </w:r>
            <w:r>
              <w:rPr>
                <w:rFonts w:hint="default" w:ascii="Times New Roman" w:hAnsi="Times New Roman" w:cs="Times New Roman"/>
                <w:szCs w:val="21"/>
              </w:rPr>
              <w:t>%</w:t>
            </w:r>
          </w:p>
        </w:tc>
        <w:tc>
          <w:tcPr>
            <w:tcW w:w="1457" w:type="dxa"/>
            <w:vAlign w:val="center"/>
          </w:tcPr>
          <w:p>
            <w:pPr>
              <w:snapToGrid w:val="0"/>
              <w:jc w:val="center"/>
              <w:rPr>
                <w:rFonts w:hint="default" w:ascii="Times New Roman" w:hAnsi="Times New Roman" w:cs="Times New Roman"/>
                <w:szCs w:val="21"/>
              </w:rPr>
            </w:pPr>
            <w:r>
              <w:rPr>
                <w:rFonts w:hint="eastAsia" w:ascii="宋体" w:hAnsi="宋体" w:eastAsia="宋体" w:cs="宋体"/>
                <w:szCs w:val="21"/>
              </w:rPr>
              <w:t>±</w:t>
            </w:r>
            <w:r>
              <w:rPr>
                <w:rFonts w:hint="default" w:ascii="Times New Roman" w:hAnsi="Times New Roman" w:cs="Times New Roman"/>
                <w:szCs w:val="21"/>
              </w:rPr>
              <w:t>0.</w:t>
            </w:r>
            <w:r>
              <w:rPr>
                <w:rFonts w:hint="eastAsia" w:cs="Times New Roman"/>
                <w:szCs w:val="21"/>
                <w:lang w:val="en-US" w:eastAsia="zh-CN"/>
              </w:rPr>
              <w:t>50</w:t>
            </w:r>
            <w:r>
              <w:rPr>
                <w:rFonts w:hint="default" w:ascii="Times New Roman" w:hAnsi="Times New Roman" w:cs="Times New Roman"/>
                <w:szCs w:val="21"/>
              </w:rPr>
              <w:t>%</w:t>
            </w:r>
          </w:p>
        </w:tc>
        <w:tc>
          <w:tcPr>
            <w:tcW w:w="1489" w:type="dxa"/>
            <w:vAlign w:val="center"/>
          </w:tcPr>
          <w:p>
            <w:pPr>
              <w:snapToGrid w:val="0"/>
              <w:jc w:val="center"/>
              <w:rPr>
                <w:rFonts w:hint="default" w:ascii="Times New Roman" w:hAnsi="Times New Roman" w:cs="Times New Roman"/>
                <w:szCs w:val="21"/>
              </w:rPr>
            </w:pPr>
            <w:r>
              <w:rPr>
                <w:rFonts w:hint="eastAsia" w:ascii="宋体" w:hAnsi="宋体" w:eastAsia="宋体" w:cs="宋体"/>
                <w:szCs w:val="21"/>
              </w:rPr>
              <w:t>±</w:t>
            </w:r>
            <w:r>
              <w:rPr>
                <w:rFonts w:hint="default" w:ascii="Times New Roman" w:hAnsi="Times New Roman" w:cs="Times New Roman"/>
                <w:szCs w:val="21"/>
              </w:rPr>
              <w:t>0.</w:t>
            </w:r>
            <w:r>
              <w:rPr>
                <w:rFonts w:hint="eastAsia" w:ascii="Times New Roman" w:hAnsi="Times New Roman" w:cs="Times New Roman"/>
                <w:szCs w:val="21"/>
                <w:lang w:val="en-US" w:eastAsia="zh-CN"/>
              </w:rPr>
              <w:t>1</w:t>
            </w:r>
            <w:r>
              <w:rPr>
                <w:rFonts w:hint="default" w:ascii="Times New Roman" w:hAnsi="Times New Roman" w:cs="Times New Roman"/>
                <w:szCs w:val="21"/>
              </w:rPr>
              <w:t>0%</w:t>
            </w:r>
          </w:p>
        </w:tc>
        <w:tc>
          <w:tcPr>
            <w:tcW w:w="1411" w:type="dxa"/>
            <w:vAlign w:val="center"/>
          </w:tcPr>
          <w:p>
            <w:pPr>
              <w:snapToGrid w:val="0"/>
              <w:jc w:val="center"/>
              <w:rPr>
                <w:rFonts w:hint="default" w:ascii="Times New Roman" w:hAnsi="Times New Roman" w:cs="Times New Roman"/>
                <w:szCs w:val="21"/>
              </w:rPr>
            </w:pPr>
            <w:r>
              <w:rPr>
                <w:rFonts w:hint="eastAsia" w:ascii="宋体" w:hAnsi="宋体" w:eastAsia="宋体" w:cs="宋体"/>
                <w:szCs w:val="21"/>
              </w:rPr>
              <w:t>±</w:t>
            </w:r>
            <w:r>
              <w:rPr>
                <w:rFonts w:hint="default" w:ascii="Times New Roman" w:hAnsi="Times New Roman" w:cs="Times New Roman"/>
                <w:szCs w:val="21"/>
              </w:rPr>
              <w:t>0.</w:t>
            </w:r>
            <w:r>
              <w:rPr>
                <w:rFonts w:hint="eastAsia" w:ascii="Times New Roman" w:hAnsi="Times New Roman" w:cs="Times New Roman"/>
                <w:szCs w:val="21"/>
                <w:lang w:val="en-US" w:eastAsia="zh-CN"/>
              </w:rPr>
              <w:t>1</w:t>
            </w:r>
            <w:r>
              <w:rPr>
                <w:rFonts w:hint="eastAsia" w:cs="Times New Roman"/>
                <w:szCs w:val="21"/>
                <w:lang w:val="en-US" w:eastAsia="zh-CN"/>
              </w:rPr>
              <w:t>5</w:t>
            </w: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1" w:type="dxa"/>
            <w:vAlign w:val="center"/>
          </w:tcPr>
          <w:p>
            <w:pPr>
              <w:snapToGrid w:val="0"/>
              <w:jc w:val="center"/>
              <w:rPr>
                <w:rFonts w:ascii="宋体" w:hAnsi="宋体"/>
                <w:szCs w:val="21"/>
              </w:rPr>
            </w:pPr>
            <w:r>
              <w:rPr>
                <w:rFonts w:hint="eastAsia" w:ascii="宋体" w:hAnsi="宋体"/>
                <w:szCs w:val="21"/>
                <w:lang w:val="en-US" w:eastAsia="zh-CN"/>
              </w:rPr>
              <w:t>测量</w:t>
            </w:r>
            <w:r>
              <w:rPr>
                <w:rFonts w:hint="eastAsia" w:ascii="宋体" w:hAnsi="宋体"/>
                <w:szCs w:val="21"/>
              </w:rPr>
              <w:t>重复性</w:t>
            </w:r>
          </w:p>
        </w:tc>
        <w:tc>
          <w:tcPr>
            <w:tcW w:w="2899" w:type="dxa"/>
            <w:gridSpan w:val="2"/>
            <w:vAlign w:val="center"/>
          </w:tcPr>
          <w:p>
            <w:pPr>
              <w:snapToGrid w:val="0"/>
              <w:jc w:val="center"/>
              <w:rPr>
                <w:rFonts w:hint="default" w:ascii="Times New Roman" w:hAnsi="Times New Roman" w:cs="Times New Roman"/>
                <w:color w:val="FF0000"/>
                <w:szCs w:val="21"/>
              </w:rPr>
            </w:pPr>
            <w:r>
              <w:rPr>
                <w:rFonts w:hint="default" w:ascii="Times New Roman" w:hAnsi="Times New Roman" w:cs="Times New Roman"/>
                <w:szCs w:val="21"/>
              </w:rPr>
              <w:t>0.25%</w:t>
            </w:r>
          </w:p>
        </w:tc>
        <w:tc>
          <w:tcPr>
            <w:tcW w:w="2900" w:type="dxa"/>
            <w:gridSpan w:val="2"/>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0.2</w:t>
            </w:r>
            <w:r>
              <w:rPr>
                <w:rFonts w:hint="default" w:ascii="Times New Roman" w:hAnsi="Times New Roman" w:cs="Times New Roman"/>
                <w:szCs w:val="21"/>
                <w:lang w:val="en-US" w:eastAsia="zh-CN"/>
              </w:rPr>
              <w:t>0</w:t>
            </w: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1" w:type="dxa"/>
            <w:vAlign w:val="center"/>
          </w:tcPr>
          <w:p>
            <w:pPr>
              <w:snapToGrid w:val="0"/>
              <w:jc w:val="center"/>
              <w:rPr>
                <w:rFonts w:ascii="宋体" w:hAnsi="宋体"/>
                <w:szCs w:val="21"/>
              </w:rPr>
            </w:pPr>
            <w:r>
              <w:rPr>
                <w:rFonts w:hint="eastAsia" w:ascii="宋体" w:hAnsi="宋体"/>
                <w:szCs w:val="21"/>
                <w:lang w:val="en-US" w:eastAsia="zh-CN"/>
              </w:rPr>
              <w:t>测量</w:t>
            </w:r>
            <w:r>
              <w:rPr>
                <w:rFonts w:hint="eastAsia" w:ascii="宋体" w:hAnsi="宋体"/>
                <w:szCs w:val="21"/>
              </w:rPr>
              <w:t>稳定性</w:t>
            </w:r>
          </w:p>
        </w:tc>
        <w:tc>
          <w:tcPr>
            <w:tcW w:w="2899" w:type="dxa"/>
            <w:gridSpan w:val="2"/>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1</w:t>
            </w:r>
            <w:r>
              <w:rPr>
                <w:rFonts w:hint="default" w:ascii="Times New Roman" w:hAnsi="Times New Roman" w:cs="Times New Roman"/>
                <w:szCs w:val="21"/>
              </w:rPr>
              <w:t>.</w:t>
            </w:r>
            <w:r>
              <w:rPr>
                <w:rFonts w:hint="default" w:ascii="Times New Roman" w:hAnsi="Times New Roman" w:cs="Times New Roman"/>
                <w:szCs w:val="21"/>
                <w:lang w:val="en-US" w:eastAsia="zh-CN"/>
              </w:rPr>
              <w:t>0</w:t>
            </w:r>
            <w:r>
              <w:rPr>
                <w:rFonts w:hint="default" w:ascii="Times New Roman" w:hAnsi="Times New Roman" w:cs="Times New Roman"/>
                <w:szCs w:val="21"/>
              </w:rPr>
              <w:t>0%</w:t>
            </w:r>
          </w:p>
        </w:tc>
        <w:tc>
          <w:tcPr>
            <w:tcW w:w="2900" w:type="dxa"/>
            <w:gridSpan w:val="2"/>
            <w:vAlign w:val="center"/>
          </w:tcPr>
          <w:p>
            <w:pPr>
              <w:snapToGrid w:val="0"/>
              <w:jc w:val="center"/>
              <w:rPr>
                <w:rFonts w:hint="default" w:ascii="Times New Roman" w:hAnsi="Times New Roman" w:cs="Times New Roman"/>
                <w:szCs w:val="21"/>
              </w:rPr>
            </w:pPr>
            <w:r>
              <w:rPr>
                <w:rFonts w:hint="eastAsia" w:cs="Times New Roman"/>
                <w:szCs w:val="21"/>
                <w:lang w:val="en-US" w:eastAsia="zh-CN"/>
              </w:rPr>
              <w:t>10.</w:t>
            </w:r>
            <w:bookmarkStart w:id="2" w:name="_GoBack"/>
            <w:bookmarkEnd w:id="2"/>
            <w:r>
              <w:rPr>
                <w:rFonts w:hint="default" w:ascii="Times New Roman" w:hAnsi="Times New Roman" w:cs="Times New Roman"/>
                <w:szCs w:val="21"/>
              </w:rPr>
              <w:t>0%</w:t>
            </w:r>
          </w:p>
        </w:tc>
      </w:tr>
    </w:tbl>
    <w:p>
      <w:pPr>
        <w:spacing w:line="360" w:lineRule="auto"/>
        <w:rPr>
          <w:rFonts w:hint="eastAsia"/>
          <w:bCs/>
          <w:sz w:val="24"/>
        </w:rPr>
      </w:pPr>
      <w:r>
        <w:rPr>
          <w:rFonts w:hint="eastAsia"/>
          <w:bCs/>
          <w:sz w:val="24"/>
        </w:rPr>
        <w:t>5.4测量标准及其他设备说明</w:t>
      </w:r>
    </w:p>
    <w:p>
      <w:pPr>
        <w:spacing w:line="360" w:lineRule="auto"/>
        <w:ind w:firstLine="480" w:firstLineChars="200"/>
        <w:rPr>
          <w:color w:val="000000"/>
          <w:sz w:val="24"/>
        </w:rPr>
      </w:pPr>
      <w:r>
        <w:rPr>
          <w:rFonts w:hint="eastAsia"/>
          <w:bCs/>
          <w:color w:val="auto"/>
          <w:sz w:val="24"/>
          <w:lang w:val="en-US" w:eastAsia="zh-CN"/>
        </w:rPr>
        <w:t>根据仪器计量特性指标和计量器具溯源原则，规定了校准用计量标准以及其准确度要求。所选用计量标准的最大允差</w:t>
      </w:r>
      <w:r>
        <w:rPr>
          <w:rFonts w:hint="eastAsia"/>
          <w:bCs/>
          <w:color w:val="auto"/>
          <w:sz w:val="24"/>
        </w:rPr>
        <w:t>和</w:t>
      </w:r>
      <w:r>
        <w:rPr>
          <w:rFonts w:hint="eastAsia"/>
          <w:bCs/>
          <w:color w:val="auto"/>
          <w:sz w:val="24"/>
          <w:lang w:val="en-US" w:eastAsia="zh-CN"/>
        </w:rPr>
        <w:t>仪器</w:t>
      </w:r>
      <w:r>
        <w:rPr>
          <w:rFonts w:hint="eastAsia"/>
          <w:bCs/>
          <w:color w:val="auto"/>
          <w:sz w:val="24"/>
        </w:rPr>
        <w:t>最大允许误差</w:t>
      </w:r>
      <w:r>
        <w:rPr>
          <w:rFonts w:hint="eastAsia"/>
          <w:bCs/>
          <w:color w:val="auto"/>
          <w:sz w:val="24"/>
          <w:lang w:val="en-US" w:eastAsia="zh-CN"/>
        </w:rPr>
        <w:t>对</w:t>
      </w:r>
      <w:r>
        <w:rPr>
          <w:rFonts w:hint="eastAsia"/>
          <w:bCs/>
          <w:color w:val="auto"/>
          <w:sz w:val="24"/>
        </w:rPr>
        <w:t>比，能</w:t>
      </w:r>
      <w:r>
        <w:rPr>
          <w:rFonts w:hint="eastAsia"/>
          <w:bCs/>
          <w:color w:val="auto"/>
          <w:sz w:val="24"/>
          <w:lang w:val="en-US" w:eastAsia="zh-CN"/>
        </w:rPr>
        <w:t>够</w:t>
      </w:r>
      <w:r>
        <w:rPr>
          <w:rFonts w:hint="eastAsia"/>
          <w:bCs/>
          <w:color w:val="auto"/>
          <w:sz w:val="24"/>
        </w:rPr>
        <w:t>满足使用要求</w:t>
      </w:r>
      <w:r>
        <w:rPr>
          <w:rFonts w:hint="eastAsia"/>
          <w:bCs/>
          <w:color w:val="auto"/>
          <w:sz w:val="24"/>
          <w:lang w:eastAsia="zh-CN"/>
        </w:rPr>
        <w:t>，</w:t>
      </w:r>
      <w:r>
        <w:rPr>
          <w:rFonts w:hint="eastAsia" w:ascii="宋体" w:hAnsi="宋体"/>
          <w:sz w:val="24"/>
        </w:rPr>
        <w:t>能覆盖有效测量范围的高、中、低含量的石灰石成分分析标准物质或其它有证标准物质，标准物质应</w:t>
      </w:r>
      <w:r>
        <w:rPr>
          <w:rFonts w:hint="eastAsia" w:ascii="宋体" w:hAnsi="宋体"/>
          <w:sz w:val="24"/>
          <w:lang w:val="en-US" w:eastAsia="zh-CN"/>
        </w:rPr>
        <w:t>取得</w:t>
      </w:r>
      <w:r>
        <w:rPr>
          <w:rFonts w:hint="eastAsia" w:ascii="宋体" w:hAnsi="宋体"/>
          <w:sz w:val="24"/>
        </w:rPr>
        <w:t>国家计量行政部门批准，其特性量值和不确定度由标准物质证书给出。</w:t>
      </w:r>
    </w:p>
    <w:p>
      <w:pPr>
        <w:spacing w:line="360" w:lineRule="auto"/>
        <w:rPr>
          <w:rFonts w:hint="eastAsia" w:ascii="宋体" w:hAnsi="宋体"/>
          <w:b/>
          <w:bCs/>
          <w:sz w:val="24"/>
        </w:rPr>
      </w:pPr>
      <w:r>
        <w:rPr>
          <w:rFonts w:hint="eastAsia" w:ascii="宋体" w:hAnsi="宋体"/>
          <w:b/>
          <w:bCs/>
          <w:sz w:val="24"/>
        </w:rPr>
        <w:t>六、试验验证情况</w:t>
      </w:r>
    </w:p>
    <w:p>
      <w:pPr>
        <w:pStyle w:val="24"/>
        <w:spacing w:line="360" w:lineRule="auto"/>
        <w:ind w:firstLine="480"/>
        <w:rPr>
          <w:bCs/>
          <w:sz w:val="24"/>
        </w:rPr>
      </w:pPr>
      <w:r>
        <w:rPr>
          <w:rFonts w:ascii="宋体" w:hAnsi="宋体" w:cs="宋体"/>
          <w:sz w:val="24"/>
        </w:rPr>
        <w:t>根据校准规范编制原则，确定校准规范主要内容（如计量特性、校准条件、校准项目、校准方法、公式、不确定度评定等），</w:t>
      </w:r>
      <w:r>
        <w:rPr>
          <w:rFonts w:hint="eastAsia" w:ascii="宋体" w:hAnsi="宋体" w:cs="宋体"/>
          <w:sz w:val="24"/>
        </w:rPr>
        <w:t>起草小组</w:t>
      </w:r>
      <w:r>
        <w:rPr>
          <w:rFonts w:hint="eastAsia"/>
          <w:bCs/>
          <w:sz w:val="24"/>
        </w:rPr>
        <w:t>选取</w:t>
      </w:r>
      <w:r>
        <w:rPr>
          <w:rFonts w:hint="eastAsia"/>
          <w:bCs/>
          <w:sz w:val="24"/>
          <w:lang w:val="en-US" w:eastAsia="zh-CN"/>
        </w:rPr>
        <w:t>上海爱斯特电子有限公司、陕西波特兰电子科技有限责任公司、鹤壁市创新仪器仪表有限公司</w:t>
      </w:r>
      <w:r>
        <w:rPr>
          <w:rFonts w:hint="eastAsia"/>
          <w:bCs/>
          <w:sz w:val="24"/>
        </w:rPr>
        <w:t>生产的X射线荧光法钙铁含量分析仪进行了试验。</w:t>
      </w:r>
    </w:p>
    <w:p>
      <w:pPr>
        <w:pStyle w:val="24"/>
        <w:adjustRightInd w:val="0"/>
        <w:snapToGrid w:val="0"/>
        <w:spacing w:line="360" w:lineRule="auto"/>
        <w:ind w:firstLine="480"/>
        <w:rPr>
          <w:bCs/>
          <w:sz w:val="24"/>
        </w:rPr>
      </w:pPr>
      <w:r>
        <w:rPr>
          <w:rFonts w:hint="eastAsia"/>
          <w:bCs/>
          <w:sz w:val="24"/>
        </w:rPr>
        <w:t>实验过程：</w:t>
      </w:r>
    </w:p>
    <w:p>
      <w:pPr>
        <w:pStyle w:val="24"/>
        <w:adjustRightInd w:val="0"/>
        <w:snapToGrid w:val="0"/>
        <w:spacing w:line="360" w:lineRule="auto"/>
        <w:ind w:firstLine="480"/>
        <w:rPr>
          <w:rFonts w:hint="default" w:ascii="Times New Roman" w:hAnsi="Times New Roman" w:cs="Times New Roman"/>
          <w:bCs/>
          <w:sz w:val="24"/>
        </w:rPr>
      </w:pPr>
      <w:r>
        <w:rPr>
          <w:rFonts w:hint="default" w:ascii="Times New Roman" w:hAnsi="Times New Roman" w:cs="Times New Roman"/>
          <w:bCs/>
          <w:sz w:val="24"/>
        </w:rPr>
        <w:t>1、</w:t>
      </w:r>
      <w:r>
        <w:rPr>
          <w:rFonts w:hint="default" w:ascii="Times New Roman" w:hAnsi="Times New Roman" w:cs="Times New Roman"/>
          <w:bCs/>
          <w:sz w:val="24"/>
          <w:lang w:val="en-US" w:eastAsia="zh-CN"/>
        </w:rPr>
        <w:t>示值</w:t>
      </w:r>
      <w:r>
        <w:rPr>
          <w:rFonts w:hint="default" w:ascii="Times New Roman" w:hAnsi="Times New Roman" w:cs="Times New Roman"/>
          <w:bCs/>
          <w:sz w:val="24"/>
        </w:rPr>
        <w:t>误差：</w:t>
      </w:r>
      <w:r>
        <w:rPr>
          <w:rFonts w:hint="default" w:ascii="Times New Roman" w:hAnsi="Times New Roman" w:cs="Times New Roman"/>
          <w:sz w:val="24"/>
        </w:rPr>
        <w:t>待仪器稳定后，按照仪器说明书给出的方法，依次使用</w:t>
      </w:r>
      <w:bookmarkStart w:id="0" w:name="_Hlk152686296"/>
      <w:r>
        <w:rPr>
          <w:rFonts w:hint="default" w:ascii="Times New Roman" w:hAnsi="Times New Roman" w:cs="Times New Roman"/>
          <w:sz w:val="24"/>
        </w:rPr>
        <w:t>低、高含量</w:t>
      </w:r>
      <w:bookmarkEnd w:id="0"/>
      <w:r>
        <w:rPr>
          <w:rFonts w:hint="default" w:ascii="Times New Roman" w:hAnsi="Times New Roman" w:cs="Times New Roman"/>
          <w:sz w:val="24"/>
        </w:rPr>
        <w:t>标准物质制作试样，然后将试样置于分析仪中进行测定。重复测量3次，计算示值误差</w:t>
      </w:r>
      <w:r>
        <w:rPr>
          <w:rFonts w:hint="default" w:ascii="Times New Roman" w:hAnsi="Times New Roman" w:cs="Times New Roman"/>
          <w:bCs/>
          <w:sz w:val="24"/>
        </w:rPr>
        <w:t>；</w:t>
      </w:r>
    </w:p>
    <w:p>
      <w:pPr>
        <w:pStyle w:val="24"/>
        <w:adjustRightInd w:val="0"/>
        <w:snapToGrid w:val="0"/>
        <w:spacing w:line="360" w:lineRule="auto"/>
        <w:ind w:firstLine="480"/>
        <w:rPr>
          <w:rFonts w:hint="default" w:ascii="Times New Roman" w:hAnsi="Times New Roman" w:eastAsia="宋体" w:cs="Times New Roman"/>
          <w:bCs/>
          <w:sz w:val="24"/>
          <w:lang w:eastAsia="zh-CN"/>
        </w:rPr>
      </w:pPr>
      <w:r>
        <w:rPr>
          <w:rFonts w:hint="default" w:ascii="Times New Roman" w:hAnsi="Times New Roman" w:cs="Times New Roman"/>
          <w:bCs/>
          <w:sz w:val="24"/>
        </w:rPr>
        <w:t>2、</w:t>
      </w:r>
      <w:r>
        <w:rPr>
          <w:rFonts w:hint="default" w:ascii="Times New Roman" w:hAnsi="Times New Roman" w:cs="Times New Roman"/>
          <w:bCs/>
          <w:sz w:val="24"/>
          <w:lang w:val="en-US" w:eastAsia="zh-CN"/>
        </w:rPr>
        <w:t>测量重复性</w:t>
      </w:r>
      <w:r>
        <w:rPr>
          <w:rFonts w:hint="default" w:ascii="Times New Roman" w:hAnsi="Times New Roman" w:cs="Times New Roman"/>
          <w:bCs/>
          <w:sz w:val="24"/>
        </w:rPr>
        <w:t>：</w:t>
      </w:r>
      <w:r>
        <w:rPr>
          <w:rFonts w:hint="default" w:ascii="Times New Roman" w:hAnsi="Times New Roman" w:cs="Times New Roman"/>
          <w:sz w:val="24"/>
        </w:rPr>
        <w:t>待仪器稳定后，按照仪器说明书给出的方法，选取测量范围的</w:t>
      </w:r>
      <w:r>
        <w:rPr>
          <w:rFonts w:hint="eastAsia" w:cs="Times New Roman"/>
          <w:sz w:val="24"/>
          <w:lang w:val="en-US" w:eastAsia="zh-CN"/>
        </w:rPr>
        <w:t>高</w:t>
      </w:r>
      <w:r>
        <w:rPr>
          <w:rFonts w:hint="default" w:ascii="Times New Roman" w:hAnsi="Times New Roman" w:cs="Times New Roman"/>
          <w:sz w:val="24"/>
        </w:rPr>
        <w:t>含量的标准物质，</w:t>
      </w:r>
      <w:r>
        <w:rPr>
          <w:rFonts w:hint="default" w:ascii="Times New Roman" w:hAnsi="Times New Roman" w:cs="Times New Roman"/>
          <w:color w:val="000000"/>
          <w:sz w:val="24"/>
        </w:rPr>
        <w:t>重复测量</w:t>
      </w:r>
      <w:r>
        <w:rPr>
          <w:rFonts w:hint="default" w:ascii="Times New Roman" w:hAnsi="Times New Roman" w:cs="Times New Roman"/>
          <w:sz w:val="24"/>
        </w:rPr>
        <w:t>7次，记录每次测量结果，计算</w:t>
      </w:r>
      <w:r>
        <w:rPr>
          <w:rFonts w:hint="default" w:ascii="Times New Roman" w:hAnsi="Times New Roman" w:cs="Times New Roman"/>
          <w:sz w:val="24"/>
          <w:lang w:val="en-US" w:eastAsia="zh-CN"/>
        </w:rPr>
        <w:t>测量</w:t>
      </w:r>
      <w:r>
        <w:rPr>
          <w:rFonts w:hint="default" w:ascii="Times New Roman" w:hAnsi="Times New Roman" w:cs="Times New Roman"/>
          <w:sz w:val="24"/>
        </w:rPr>
        <w:t>重复性</w:t>
      </w:r>
      <w:r>
        <w:rPr>
          <w:rFonts w:hint="default" w:ascii="Times New Roman" w:hAnsi="Times New Roman" w:cs="Times New Roman"/>
          <w:bCs/>
          <w:sz w:val="24"/>
          <w:lang w:eastAsia="zh-CN"/>
        </w:rPr>
        <w:t>；</w:t>
      </w:r>
    </w:p>
    <w:p>
      <w:pPr>
        <w:pStyle w:val="7"/>
        <w:adjustRightInd w:val="0"/>
        <w:snapToGrid w:val="0"/>
        <w:spacing w:line="360" w:lineRule="auto"/>
        <w:ind w:firstLine="480" w:firstLineChars="200"/>
        <w:rPr>
          <w:rFonts w:hint="eastAsia"/>
          <w:spacing w:val="6"/>
        </w:rPr>
      </w:pPr>
      <w:r>
        <w:rPr>
          <w:rFonts w:hint="default" w:ascii="Times New Roman" w:hAnsi="Times New Roman" w:cs="Times New Roman"/>
          <w:bCs/>
        </w:rPr>
        <w:t>3、</w:t>
      </w:r>
      <w:r>
        <w:rPr>
          <w:rFonts w:hint="default" w:ascii="Times New Roman" w:hAnsi="Times New Roman" w:cs="Times New Roman"/>
          <w:color w:val="000000"/>
          <w:lang w:val="en-US" w:eastAsia="zh-CN"/>
        </w:rPr>
        <w:t>测量稳定性</w:t>
      </w:r>
      <w:r>
        <w:rPr>
          <w:rFonts w:hint="default" w:ascii="Times New Roman" w:hAnsi="Times New Roman" w:cs="Times New Roman"/>
          <w:color w:val="000000"/>
        </w:rPr>
        <w:t>：</w:t>
      </w:r>
      <w:bookmarkStart w:id="1" w:name="OLE_LINK6"/>
      <w:r>
        <w:rPr>
          <w:rFonts w:hint="default" w:ascii="Times New Roman" w:hAnsi="Times New Roman" w:cs="Times New Roman"/>
          <w:sz w:val="24"/>
        </w:rPr>
        <w:t>待仪器稳定后，按照仪器说明书给出的方法，选取测量范围的</w:t>
      </w:r>
      <w:r>
        <w:rPr>
          <w:rFonts w:hint="eastAsia" w:ascii="Times New Roman" w:hAnsi="Times New Roman" w:cs="Times New Roman"/>
          <w:sz w:val="24"/>
          <w:lang w:val="en-US" w:eastAsia="zh-CN"/>
        </w:rPr>
        <w:t>高</w:t>
      </w:r>
      <w:r>
        <w:rPr>
          <w:rFonts w:hint="default" w:ascii="Times New Roman" w:hAnsi="Times New Roman" w:cs="Times New Roman"/>
          <w:sz w:val="24"/>
        </w:rPr>
        <w:t>含量的标准物质，每隔5</w:t>
      </w:r>
      <w:r>
        <w:rPr>
          <w:rFonts w:hint="default" w:ascii="Times New Roman" w:hAnsi="Times New Roman" w:cs="Times New Roman"/>
          <w:sz w:val="24"/>
          <w:lang w:val="en-US" w:eastAsia="zh-CN"/>
        </w:rPr>
        <w:t xml:space="preserve"> min</w:t>
      </w:r>
      <w:r>
        <w:rPr>
          <w:rFonts w:hint="default" w:ascii="Times New Roman" w:hAnsi="Times New Roman" w:cs="Times New Roman"/>
          <w:sz w:val="24"/>
        </w:rPr>
        <w:t>测量一次，共测量6次，计算</w:t>
      </w:r>
      <w:r>
        <w:rPr>
          <w:rFonts w:hint="eastAsia" w:hAnsi="宋体"/>
          <w:sz w:val="24"/>
          <w:lang w:val="en-US" w:eastAsia="zh-CN"/>
        </w:rPr>
        <w:t>测量</w:t>
      </w:r>
      <w:r>
        <w:rPr>
          <w:rFonts w:hint="eastAsia" w:hAnsi="宋体"/>
          <w:sz w:val="24"/>
        </w:rPr>
        <w:t>稳定性</w:t>
      </w:r>
      <w:r>
        <w:rPr>
          <w:spacing w:val="6"/>
        </w:rPr>
        <w:t>。</w:t>
      </w:r>
      <w:bookmarkEnd w:id="1"/>
    </w:p>
    <w:p>
      <w:pPr>
        <w:rPr>
          <w:rFonts w:hint="eastAsia"/>
          <w:bCs/>
          <w:sz w:val="24"/>
        </w:rPr>
      </w:pPr>
      <w:r>
        <w:rPr>
          <w:rFonts w:hint="eastAsia"/>
          <w:bCs/>
          <w:sz w:val="24"/>
        </w:rPr>
        <w:br w:type="page"/>
      </w:r>
    </w:p>
    <w:p>
      <w:pPr>
        <w:pStyle w:val="24"/>
        <w:spacing w:line="360" w:lineRule="auto"/>
        <w:ind w:firstLine="480"/>
        <w:rPr>
          <w:rFonts w:hint="eastAsia"/>
          <w:bCs/>
          <w:sz w:val="24"/>
        </w:rPr>
      </w:pPr>
      <w:r>
        <w:rPr>
          <w:rFonts w:hint="eastAsia"/>
          <w:bCs/>
          <w:sz w:val="24"/>
        </w:rPr>
        <w:t>实验结果：</w:t>
      </w:r>
    </w:p>
    <w:tbl>
      <w:tblPr>
        <w:tblStyle w:val="14"/>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590"/>
        <w:gridCol w:w="1018"/>
        <w:gridCol w:w="666"/>
        <w:gridCol w:w="1181"/>
        <w:gridCol w:w="1353"/>
        <w:gridCol w:w="796"/>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76" w:type="dxa"/>
            <w:noWrap/>
            <w:vAlign w:val="center"/>
          </w:tcPr>
          <w:p>
            <w:pPr>
              <w:jc w:val="center"/>
              <w:rPr>
                <w:sz w:val="18"/>
                <w:szCs w:val="18"/>
              </w:rPr>
            </w:pPr>
            <w:r>
              <w:rPr>
                <w:sz w:val="18"/>
                <w:szCs w:val="18"/>
              </w:rPr>
              <w:t>序号</w:t>
            </w:r>
          </w:p>
        </w:tc>
        <w:tc>
          <w:tcPr>
            <w:tcW w:w="1590" w:type="dxa"/>
            <w:noWrap/>
            <w:vAlign w:val="center"/>
          </w:tcPr>
          <w:p>
            <w:pPr>
              <w:jc w:val="center"/>
              <w:rPr>
                <w:sz w:val="18"/>
                <w:szCs w:val="18"/>
              </w:rPr>
            </w:pPr>
            <w:r>
              <w:rPr>
                <w:sz w:val="18"/>
                <w:szCs w:val="18"/>
              </w:rPr>
              <w:t>生产厂家</w:t>
            </w:r>
          </w:p>
        </w:tc>
        <w:tc>
          <w:tcPr>
            <w:tcW w:w="1018" w:type="dxa"/>
            <w:noWrap/>
            <w:vAlign w:val="center"/>
          </w:tcPr>
          <w:p>
            <w:pPr>
              <w:jc w:val="center"/>
              <w:rPr>
                <w:sz w:val="18"/>
                <w:szCs w:val="18"/>
              </w:rPr>
            </w:pPr>
            <w:r>
              <w:rPr>
                <w:sz w:val="18"/>
                <w:szCs w:val="18"/>
              </w:rPr>
              <w:t>型号</w:t>
            </w:r>
          </w:p>
        </w:tc>
        <w:tc>
          <w:tcPr>
            <w:tcW w:w="1847" w:type="dxa"/>
            <w:gridSpan w:val="2"/>
            <w:noWrap/>
            <w:vAlign w:val="center"/>
          </w:tcPr>
          <w:p>
            <w:pPr>
              <w:jc w:val="center"/>
              <w:rPr>
                <w:rFonts w:hint="default" w:eastAsia="宋体"/>
                <w:sz w:val="18"/>
                <w:szCs w:val="18"/>
                <w:lang w:val="en-US" w:eastAsia="zh-CN"/>
              </w:rPr>
            </w:pPr>
            <w:r>
              <w:rPr>
                <w:rFonts w:hint="eastAsia"/>
                <w:sz w:val="18"/>
                <w:szCs w:val="18"/>
                <w:lang w:val="en-US" w:eastAsia="zh-CN"/>
              </w:rPr>
              <w:t>标准值</w:t>
            </w:r>
          </w:p>
        </w:tc>
        <w:tc>
          <w:tcPr>
            <w:tcW w:w="1353" w:type="dxa"/>
            <w:noWrap/>
            <w:vAlign w:val="center"/>
          </w:tcPr>
          <w:p>
            <w:pPr>
              <w:jc w:val="center"/>
              <w:rPr>
                <w:rFonts w:hint="default" w:eastAsia="宋体"/>
                <w:sz w:val="18"/>
                <w:szCs w:val="18"/>
                <w:lang w:val="en-US" w:eastAsia="zh-CN"/>
              </w:rPr>
            </w:pPr>
            <w:r>
              <w:rPr>
                <w:rFonts w:hint="eastAsia"/>
                <w:sz w:val="18"/>
                <w:szCs w:val="18"/>
                <w:lang w:val="en-US" w:eastAsia="zh-CN"/>
              </w:rPr>
              <w:t>示值误差</w:t>
            </w:r>
          </w:p>
        </w:tc>
        <w:tc>
          <w:tcPr>
            <w:tcW w:w="796" w:type="dxa"/>
            <w:noWrap/>
            <w:vAlign w:val="center"/>
          </w:tcPr>
          <w:p>
            <w:pPr>
              <w:jc w:val="center"/>
              <w:rPr>
                <w:sz w:val="18"/>
                <w:szCs w:val="18"/>
              </w:rPr>
            </w:pPr>
            <w:r>
              <w:rPr>
                <w:sz w:val="18"/>
                <w:szCs w:val="18"/>
              </w:rPr>
              <w:t>测量</w:t>
            </w:r>
          </w:p>
          <w:p>
            <w:pPr>
              <w:jc w:val="center"/>
              <w:rPr>
                <w:rFonts w:hint="eastAsia"/>
                <w:sz w:val="18"/>
                <w:szCs w:val="18"/>
                <w:lang w:val="en-US" w:eastAsia="zh-CN"/>
              </w:rPr>
            </w:pPr>
            <w:r>
              <w:rPr>
                <w:rFonts w:hint="eastAsia"/>
                <w:sz w:val="18"/>
                <w:szCs w:val="18"/>
                <w:lang w:val="en-US" w:eastAsia="zh-CN"/>
              </w:rPr>
              <w:t>重复</w:t>
            </w:r>
            <w:r>
              <w:rPr>
                <w:sz w:val="18"/>
                <w:szCs w:val="18"/>
              </w:rPr>
              <w:t>性</w:t>
            </w:r>
          </w:p>
        </w:tc>
        <w:tc>
          <w:tcPr>
            <w:tcW w:w="796" w:type="dxa"/>
            <w:noWrap/>
            <w:vAlign w:val="center"/>
          </w:tcPr>
          <w:p>
            <w:pPr>
              <w:jc w:val="center"/>
              <w:rPr>
                <w:sz w:val="18"/>
                <w:szCs w:val="18"/>
              </w:rPr>
            </w:pPr>
            <w:r>
              <w:rPr>
                <w:sz w:val="18"/>
                <w:szCs w:val="18"/>
              </w:rPr>
              <w:t>测量</w:t>
            </w:r>
          </w:p>
          <w:p>
            <w:pPr>
              <w:jc w:val="center"/>
              <w:rPr>
                <w:sz w:val="18"/>
                <w:szCs w:val="18"/>
              </w:rPr>
            </w:pPr>
            <w:r>
              <w:rPr>
                <w:rFonts w:hint="eastAsia"/>
                <w:sz w:val="18"/>
                <w:szCs w:val="18"/>
                <w:lang w:val="en-US" w:eastAsia="zh-CN"/>
              </w:rPr>
              <w:t>稳定</w:t>
            </w:r>
            <w:r>
              <w:rPr>
                <w:sz w:val="18"/>
                <w:szCs w:val="18"/>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restart"/>
            <w:noWrap/>
            <w:vAlign w:val="center"/>
          </w:tcPr>
          <w:p>
            <w:pPr>
              <w:jc w:val="center"/>
              <w:rPr>
                <w:sz w:val="18"/>
                <w:szCs w:val="18"/>
              </w:rPr>
            </w:pPr>
            <w:r>
              <w:rPr>
                <w:sz w:val="18"/>
                <w:szCs w:val="18"/>
              </w:rPr>
              <w:t>1</w:t>
            </w:r>
          </w:p>
        </w:tc>
        <w:tc>
          <w:tcPr>
            <w:tcW w:w="1590" w:type="dxa"/>
            <w:vMerge w:val="restart"/>
            <w:noWrap/>
            <w:vAlign w:val="center"/>
          </w:tcPr>
          <w:p>
            <w:pPr>
              <w:jc w:val="center"/>
              <w:rPr>
                <w:sz w:val="18"/>
                <w:szCs w:val="18"/>
              </w:rPr>
            </w:pPr>
            <w:r>
              <w:rPr>
                <w:rFonts w:hint="eastAsia"/>
                <w:color w:val="000000" w:themeColor="text1"/>
                <w:sz w:val="18"/>
                <w:szCs w:val="18"/>
                <w14:textFill>
                  <w14:solidFill>
                    <w14:schemeClr w14:val="tx1"/>
                  </w14:solidFill>
                </w14:textFill>
              </w:rPr>
              <w:t>上海爱斯特电子有限公司</w:t>
            </w:r>
          </w:p>
        </w:tc>
        <w:tc>
          <w:tcPr>
            <w:tcW w:w="1018" w:type="dxa"/>
            <w:vMerge w:val="restart"/>
            <w:noWrap/>
            <w:vAlign w:val="center"/>
          </w:tcPr>
          <w:p>
            <w:pPr>
              <w:jc w:val="center"/>
              <w:rPr>
                <w:sz w:val="18"/>
                <w:szCs w:val="18"/>
              </w:rPr>
            </w:pPr>
            <w:r>
              <w:rPr>
                <w:rFonts w:hint="eastAsia"/>
                <w:color w:val="000000" w:themeColor="text1"/>
                <w:sz w:val="18"/>
                <w:szCs w:val="18"/>
                <w:lang w:val="en-US" w:eastAsia="zh-CN"/>
                <w14:textFill>
                  <w14:solidFill>
                    <w14:schemeClr w14:val="tx1"/>
                  </w14:solidFill>
                </w14:textFill>
              </w:rPr>
              <w:t>DM1200</w:t>
            </w:r>
          </w:p>
        </w:tc>
        <w:tc>
          <w:tcPr>
            <w:tcW w:w="66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ascii="Times New Roman" w:hAnsi="Times New Roman" w:eastAsia="宋体" w:cs="Times New Roman"/>
                <w:sz w:val="18"/>
                <w:szCs w:val="18"/>
                <w:vertAlign w:val="baseline"/>
                <w:lang w:val="en-US" w:eastAsia="zh-CN"/>
              </w:rPr>
              <w:t>CaO</w:t>
            </w:r>
          </w:p>
        </w:tc>
        <w:tc>
          <w:tcPr>
            <w:tcW w:w="1181" w:type="dxa"/>
            <w:noWrap/>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eastAsia"/>
                <w:sz w:val="21"/>
                <w:szCs w:val="21"/>
                <w:lang w:val="en-US" w:eastAsia="zh-CN"/>
              </w:rPr>
              <w:t>28.73%</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0.16%</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noWrap/>
            <w:vAlign w:val="center"/>
          </w:tcPr>
          <w:p>
            <w:pPr>
              <w:jc w:val="center"/>
              <w:rPr>
                <w:sz w:val="18"/>
                <w:szCs w:val="18"/>
              </w:rPr>
            </w:pPr>
          </w:p>
        </w:tc>
        <w:tc>
          <w:tcPr>
            <w:tcW w:w="1590" w:type="dxa"/>
            <w:vMerge w:val="continue"/>
            <w:noWrap/>
            <w:vAlign w:val="center"/>
          </w:tcPr>
          <w:p>
            <w:pPr>
              <w:jc w:val="center"/>
              <w:rPr>
                <w:rFonts w:hint="eastAsia"/>
                <w:color w:val="000000" w:themeColor="text1"/>
                <w:sz w:val="18"/>
                <w:szCs w:val="18"/>
                <w14:textFill>
                  <w14:solidFill>
                    <w14:schemeClr w14:val="tx1"/>
                  </w14:solidFill>
                </w14:textFill>
              </w:rPr>
            </w:pPr>
          </w:p>
        </w:tc>
        <w:tc>
          <w:tcPr>
            <w:tcW w:w="1018" w:type="dxa"/>
            <w:vMerge w:val="continue"/>
            <w:noWrap/>
            <w:vAlign w:val="center"/>
          </w:tcPr>
          <w:p>
            <w:pPr>
              <w:jc w:val="center"/>
              <w:rPr>
                <w:rFonts w:hint="eastAsia"/>
                <w:color w:val="000000" w:themeColor="text1"/>
                <w:sz w:val="18"/>
                <w:szCs w:val="18"/>
                <w:lang w:val="en-US" w:eastAsia="zh-CN"/>
                <w14:textFill>
                  <w14:solidFill>
                    <w14:schemeClr w14:val="tx1"/>
                  </w14:solidFill>
                </w14:textFill>
              </w:rPr>
            </w:pPr>
          </w:p>
        </w:tc>
        <w:tc>
          <w:tcPr>
            <w:tcW w:w="666" w:type="dxa"/>
            <w:vMerge w:val="continue"/>
            <w:noWrap/>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vertAlign w:val="baseline"/>
                <w:lang w:val="en-US" w:eastAsia="zh-CN"/>
              </w:rPr>
            </w:pPr>
          </w:p>
        </w:tc>
        <w:tc>
          <w:tcPr>
            <w:tcW w:w="1181" w:type="dxa"/>
            <w:noWrap/>
            <w:vAlign w:val="center"/>
          </w:tcPr>
          <w:p>
            <w:pPr>
              <w:keepNext w:val="0"/>
              <w:keepLines w:val="0"/>
              <w:widowControl/>
              <w:suppressLineNumbers w:val="0"/>
              <w:jc w:val="center"/>
              <w:textAlignment w:val="center"/>
              <w:rPr>
                <w:rFonts w:hint="eastAsia" w:cs="Times New Roman"/>
                <w:sz w:val="18"/>
                <w:szCs w:val="18"/>
                <w:lang w:val="en-US" w:eastAsia="zh-CN"/>
              </w:rPr>
            </w:pPr>
            <w:r>
              <w:rPr>
                <w:rFonts w:hint="eastAsia" w:cs="Times New Roman"/>
                <w:sz w:val="18"/>
                <w:szCs w:val="18"/>
                <w:lang w:val="en-US" w:eastAsia="zh-CN"/>
              </w:rPr>
              <w:t>46.09%</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796" w:type="dxa"/>
            <w:vMerge w:val="continue"/>
            <w:noWrap/>
            <w:vAlign w:val="center"/>
          </w:tcPr>
          <w:p>
            <w:pPr>
              <w:jc w:val="center"/>
              <w:rPr>
                <w:rFonts w:hint="default" w:ascii="Times New Roman" w:hAnsi="Times New Roman" w:cs="Times New Roman"/>
                <w:sz w:val="18"/>
                <w:szCs w:val="18"/>
              </w:rPr>
            </w:pPr>
          </w:p>
        </w:tc>
        <w:tc>
          <w:tcPr>
            <w:tcW w:w="796" w:type="dxa"/>
            <w:vMerge w:val="continue"/>
            <w:noWrap/>
            <w:vAlign w:val="center"/>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noWrap/>
            <w:vAlign w:val="center"/>
          </w:tcPr>
          <w:p>
            <w:pPr>
              <w:jc w:val="center"/>
              <w:rPr>
                <w:sz w:val="18"/>
                <w:szCs w:val="18"/>
              </w:rPr>
            </w:pPr>
          </w:p>
        </w:tc>
        <w:tc>
          <w:tcPr>
            <w:tcW w:w="1590" w:type="dxa"/>
            <w:vMerge w:val="continue"/>
            <w:noWrap/>
            <w:vAlign w:val="center"/>
          </w:tcPr>
          <w:p>
            <w:pPr>
              <w:jc w:val="center"/>
              <w:rPr>
                <w:rFonts w:hint="eastAsia"/>
                <w:color w:val="000000" w:themeColor="text1"/>
                <w:sz w:val="18"/>
                <w:szCs w:val="18"/>
                <w14:textFill>
                  <w14:solidFill>
                    <w14:schemeClr w14:val="tx1"/>
                  </w14:solidFill>
                </w14:textFill>
              </w:rPr>
            </w:pPr>
          </w:p>
        </w:tc>
        <w:tc>
          <w:tcPr>
            <w:tcW w:w="1018" w:type="dxa"/>
            <w:vMerge w:val="continue"/>
            <w:noWrap/>
            <w:vAlign w:val="center"/>
          </w:tcPr>
          <w:p>
            <w:pPr>
              <w:jc w:val="center"/>
              <w:rPr>
                <w:rFonts w:hint="eastAsia"/>
                <w:color w:val="000000" w:themeColor="text1"/>
                <w:sz w:val="18"/>
                <w:szCs w:val="18"/>
                <w:lang w:val="en-US" w:eastAsia="zh-CN"/>
                <w14:textFill>
                  <w14:solidFill>
                    <w14:schemeClr w14:val="tx1"/>
                  </w14:solidFill>
                </w14:textFill>
              </w:rPr>
            </w:pPr>
          </w:p>
        </w:tc>
        <w:tc>
          <w:tcPr>
            <w:tcW w:w="666" w:type="dxa"/>
            <w:vMerge w:val="restart"/>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sz w:val="18"/>
                <w:szCs w:val="18"/>
                <w:lang w:val="en-US" w:eastAsia="zh-CN"/>
              </w:rPr>
              <w:t>Fe</w:t>
            </w:r>
            <w:r>
              <w:rPr>
                <w:rFonts w:hint="eastAsia"/>
                <w:sz w:val="18"/>
                <w:szCs w:val="18"/>
                <w:vertAlign w:val="subscript"/>
                <w:lang w:val="en-US" w:eastAsia="zh-CN"/>
              </w:rPr>
              <w:t>2</w:t>
            </w:r>
            <w:r>
              <w:rPr>
                <w:rFonts w:hint="eastAsia"/>
                <w:sz w:val="18"/>
                <w:szCs w:val="18"/>
                <w:lang w:val="en-US" w:eastAsia="zh-CN"/>
              </w:rPr>
              <w:t>O</w:t>
            </w:r>
            <w:r>
              <w:rPr>
                <w:rFonts w:hint="eastAsia"/>
                <w:sz w:val="18"/>
                <w:szCs w:val="18"/>
                <w:vertAlign w:val="subscript"/>
                <w:lang w:val="en-US" w:eastAsia="zh-CN"/>
              </w:rPr>
              <w:t>3</w:t>
            </w:r>
          </w:p>
        </w:tc>
        <w:tc>
          <w:tcPr>
            <w:tcW w:w="118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sz w:val="21"/>
                <w:szCs w:val="21"/>
                <w:lang w:val="en-US" w:eastAsia="zh-CN"/>
              </w:rPr>
              <w:t>0.187%</w:t>
            </w:r>
          </w:p>
        </w:tc>
        <w:tc>
          <w:tcPr>
            <w:tcW w:w="1353"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noWrap/>
            <w:vAlign w:val="center"/>
          </w:tcPr>
          <w:p>
            <w:pPr>
              <w:jc w:val="center"/>
              <w:rPr>
                <w:sz w:val="18"/>
                <w:szCs w:val="18"/>
              </w:rPr>
            </w:pPr>
          </w:p>
        </w:tc>
        <w:tc>
          <w:tcPr>
            <w:tcW w:w="1590" w:type="dxa"/>
            <w:vMerge w:val="continue"/>
            <w:noWrap/>
            <w:vAlign w:val="center"/>
          </w:tcPr>
          <w:p>
            <w:pPr>
              <w:jc w:val="center"/>
              <w:rPr>
                <w:rFonts w:hint="eastAsia"/>
                <w:color w:val="000000" w:themeColor="text1"/>
                <w:sz w:val="18"/>
                <w:szCs w:val="18"/>
                <w14:textFill>
                  <w14:solidFill>
                    <w14:schemeClr w14:val="tx1"/>
                  </w14:solidFill>
                </w14:textFill>
              </w:rPr>
            </w:pPr>
          </w:p>
        </w:tc>
        <w:tc>
          <w:tcPr>
            <w:tcW w:w="1018" w:type="dxa"/>
            <w:vMerge w:val="continue"/>
            <w:noWrap/>
            <w:vAlign w:val="center"/>
          </w:tcPr>
          <w:p>
            <w:pPr>
              <w:jc w:val="center"/>
              <w:rPr>
                <w:rFonts w:hint="eastAsia"/>
                <w:color w:val="000000" w:themeColor="text1"/>
                <w:sz w:val="18"/>
                <w:szCs w:val="18"/>
                <w:lang w:val="en-US" w:eastAsia="zh-CN"/>
                <w14:textFill>
                  <w14:solidFill>
                    <w14:schemeClr w14:val="tx1"/>
                  </w14:solidFill>
                </w14:textFill>
              </w:rPr>
            </w:pPr>
          </w:p>
        </w:tc>
        <w:tc>
          <w:tcPr>
            <w:tcW w:w="666" w:type="dxa"/>
            <w:vMerge w:val="continue"/>
            <w:noWrap/>
            <w:vAlign w:val="center"/>
          </w:tcPr>
          <w:p>
            <w:pPr>
              <w:keepNext w:val="0"/>
              <w:keepLines w:val="0"/>
              <w:widowControl/>
              <w:suppressLineNumbers w:val="0"/>
              <w:jc w:val="center"/>
              <w:textAlignment w:val="center"/>
              <w:rPr>
                <w:rFonts w:hint="eastAsia"/>
                <w:sz w:val="18"/>
                <w:szCs w:val="18"/>
                <w:lang w:val="en-US" w:eastAsia="zh-CN"/>
              </w:rPr>
            </w:pPr>
          </w:p>
        </w:tc>
        <w:tc>
          <w:tcPr>
            <w:tcW w:w="1181"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sz w:val="21"/>
                <w:szCs w:val="21"/>
                <w:lang w:val="en-US" w:eastAsia="zh-CN"/>
              </w:rPr>
              <w:t>0.475%</w:t>
            </w:r>
          </w:p>
        </w:tc>
        <w:tc>
          <w:tcPr>
            <w:tcW w:w="1353"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796" w:type="dxa"/>
            <w:vMerge w:val="continue"/>
            <w:noWrap/>
            <w:vAlign w:val="center"/>
          </w:tcPr>
          <w:p>
            <w:pPr>
              <w:jc w:val="center"/>
              <w:rPr>
                <w:rFonts w:hint="default" w:ascii="Times New Roman" w:hAnsi="Times New Roman" w:cs="Times New Roman"/>
                <w:sz w:val="18"/>
                <w:szCs w:val="18"/>
              </w:rPr>
            </w:pPr>
          </w:p>
        </w:tc>
        <w:tc>
          <w:tcPr>
            <w:tcW w:w="796" w:type="dxa"/>
            <w:vMerge w:val="continue"/>
            <w:noWrap/>
            <w:vAlign w:val="center"/>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restart"/>
            <w:noWrap/>
            <w:vAlign w:val="center"/>
          </w:tcPr>
          <w:p>
            <w:pPr>
              <w:jc w:val="center"/>
              <w:rPr>
                <w:sz w:val="18"/>
                <w:szCs w:val="18"/>
              </w:rPr>
            </w:pPr>
            <w:r>
              <w:rPr>
                <w:sz w:val="18"/>
                <w:szCs w:val="18"/>
              </w:rPr>
              <w:t>2</w:t>
            </w:r>
          </w:p>
        </w:tc>
        <w:tc>
          <w:tcPr>
            <w:tcW w:w="1590"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color w:val="000000" w:themeColor="text1"/>
                <w:sz w:val="18"/>
                <w:szCs w:val="18"/>
                <w:lang w:val="en-US" w:eastAsia="zh-CN"/>
                <w14:textFill>
                  <w14:solidFill>
                    <w14:schemeClr w14:val="tx1"/>
                  </w14:solidFill>
                </w14:textFill>
              </w:rPr>
              <w:t>陕西波特兰电子科技有限责任公司</w:t>
            </w:r>
          </w:p>
        </w:tc>
        <w:tc>
          <w:tcPr>
            <w:tcW w:w="1018" w:type="dxa"/>
            <w:vMerge w:val="restart"/>
            <w:noWrap/>
            <w:vAlign w:val="center"/>
          </w:tcPr>
          <w:p>
            <w:pPr>
              <w:jc w:val="center"/>
              <w:rPr>
                <w:sz w:val="18"/>
                <w:szCs w:val="18"/>
              </w:rPr>
            </w:pPr>
            <w:r>
              <w:rPr>
                <w:rFonts w:hint="eastAsia"/>
                <w:color w:val="000000" w:themeColor="text1"/>
                <w:sz w:val="18"/>
                <w:szCs w:val="18"/>
                <w:lang w:val="en-US" w:eastAsia="zh-CN"/>
                <w14:textFill>
                  <w14:solidFill>
                    <w14:schemeClr w14:val="tx1"/>
                  </w14:solidFill>
                </w14:textFill>
              </w:rPr>
              <w:t>BM-2007</w:t>
            </w:r>
          </w:p>
        </w:tc>
        <w:tc>
          <w:tcPr>
            <w:tcW w:w="66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ascii="Times New Roman" w:hAnsi="Times New Roman" w:eastAsia="宋体" w:cs="Times New Roman"/>
                <w:sz w:val="18"/>
                <w:szCs w:val="18"/>
                <w:vertAlign w:val="baseline"/>
                <w:lang w:val="en-US" w:eastAsia="zh-CN"/>
              </w:rPr>
              <w:t>CaO</w:t>
            </w:r>
          </w:p>
        </w:tc>
        <w:tc>
          <w:tcPr>
            <w:tcW w:w="1181"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sz w:val="21"/>
                <w:szCs w:val="21"/>
                <w:lang w:val="en-US" w:eastAsia="zh-CN"/>
              </w:rPr>
              <w:t>28.73%</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-0.04%</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0.14%</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noWrap/>
            <w:vAlign w:val="center"/>
          </w:tcPr>
          <w:p>
            <w:pPr>
              <w:jc w:val="center"/>
              <w:rPr>
                <w:sz w:val="18"/>
                <w:szCs w:val="18"/>
              </w:rPr>
            </w:pPr>
          </w:p>
        </w:tc>
        <w:tc>
          <w:tcPr>
            <w:tcW w:w="1590"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lang w:val="en-US" w:eastAsia="zh-CN"/>
                <w14:textFill>
                  <w14:solidFill>
                    <w14:schemeClr w14:val="tx1"/>
                  </w14:solidFill>
                </w14:textFill>
              </w:rPr>
            </w:pPr>
          </w:p>
        </w:tc>
        <w:tc>
          <w:tcPr>
            <w:tcW w:w="1018" w:type="dxa"/>
            <w:vMerge w:val="continue"/>
            <w:noWrap/>
            <w:vAlign w:val="center"/>
          </w:tcPr>
          <w:p>
            <w:pPr>
              <w:jc w:val="center"/>
              <w:rPr>
                <w:rFonts w:hint="eastAsia"/>
                <w:color w:val="000000" w:themeColor="text1"/>
                <w:sz w:val="18"/>
                <w:szCs w:val="18"/>
                <w:lang w:val="en-US" w:eastAsia="zh-CN"/>
                <w14:textFill>
                  <w14:solidFill>
                    <w14:schemeClr w14:val="tx1"/>
                  </w14:solidFill>
                </w14:textFill>
              </w:rPr>
            </w:pPr>
          </w:p>
        </w:tc>
        <w:tc>
          <w:tcPr>
            <w:tcW w:w="666" w:type="dxa"/>
            <w:vMerge w:val="continue"/>
            <w:noWrap/>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vertAlign w:val="baseline"/>
                <w:lang w:val="en-US" w:eastAsia="zh-CN"/>
              </w:rPr>
            </w:pPr>
          </w:p>
        </w:tc>
        <w:tc>
          <w:tcPr>
            <w:tcW w:w="1181"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cs="Times New Roman"/>
                <w:sz w:val="18"/>
                <w:szCs w:val="18"/>
                <w:lang w:val="en-US" w:eastAsia="zh-CN"/>
              </w:rPr>
              <w:t>46.09%</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0.14%</w:t>
            </w:r>
          </w:p>
        </w:tc>
        <w:tc>
          <w:tcPr>
            <w:tcW w:w="796" w:type="dxa"/>
            <w:vMerge w:val="continue"/>
            <w:noWrap/>
            <w:vAlign w:val="center"/>
          </w:tcPr>
          <w:p>
            <w:pPr>
              <w:jc w:val="center"/>
              <w:rPr>
                <w:rFonts w:hint="default" w:ascii="Times New Roman" w:hAnsi="Times New Roman" w:cs="Times New Roman"/>
                <w:sz w:val="18"/>
                <w:szCs w:val="18"/>
              </w:rPr>
            </w:pPr>
          </w:p>
        </w:tc>
        <w:tc>
          <w:tcPr>
            <w:tcW w:w="796" w:type="dxa"/>
            <w:vMerge w:val="continue"/>
            <w:noWrap/>
            <w:vAlign w:val="center"/>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noWrap/>
            <w:vAlign w:val="center"/>
          </w:tcPr>
          <w:p>
            <w:pPr>
              <w:jc w:val="center"/>
              <w:rPr>
                <w:sz w:val="18"/>
                <w:szCs w:val="18"/>
              </w:rPr>
            </w:pPr>
          </w:p>
        </w:tc>
        <w:tc>
          <w:tcPr>
            <w:tcW w:w="1590"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lang w:val="en-US" w:eastAsia="zh-CN"/>
                <w14:textFill>
                  <w14:solidFill>
                    <w14:schemeClr w14:val="tx1"/>
                  </w14:solidFill>
                </w14:textFill>
              </w:rPr>
            </w:pPr>
          </w:p>
        </w:tc>
        <w:tc>
          <w:tcPr>
            <w:tcW w:w="1018" w:type="dxa"/>
            <w:vMerge w:val="continue"/>
            <w:noWrap/>
            <w:vAlign w:val="center"/>
          </w:tcPr>
          <w:p>
            <w:pPr>
              <w:jc w:val="center"/>
              <w:rPr>
                <w:rFonts w:hint="eastAsia"/>
                <w:color w:val="000000" w:themeColor="text1"/>
                <w:sz w:val="18"/>
                <w:szCs w:val="18"/>
                <w:lang w:val="en-US" w:eastAsia="zh-CN"/>
                <w14:textFill>
                  <w14:solidFill>
                    <w14:schemeClr w14:val="tx1"/>
                  </w14:solidFill>
                </w14:textFill>
              </w:rPr>
            </w:pPr>
          </w:p>
        </w:tc>
        <w:tc>
          <w:tcPr>
            <w:tcW w:w="66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sz w:val="18"/>
                <w:szCs w:val="18"/>
                <w:lang w:val="en-US" w:eastAsia="zh-CN"/>
              </w:rPr>
              <w:t>Fe</w:t>
            </w:r>
            <w:r>
              <w:rPr>
                <w:rFonts w:hint="eastAsia"/>
                <w:sz w:val="18"/>
                <w:szCs w:val="18"/>
                <w:vertAlign w:val="subscript"/>
                <w:lang w:val="en-US" w:eastAsia="zh-CN"/>
              </w:rPr>
              <w:t>2</w:t>
            </w:r>
            <w:r>
              <w:rPr>
                <w:rFonts w:hint="eastAsia"/>
                <w:sz w:val="18"/>
                <w:szCs w:val="18"/>
                <w:lang w:val="en-US" w:eastAsia="zh-CN"/>
              </w:rPr>
              <w:t>O</w:t>
            </w:r>
            <w:r>
              <w:rPr>
                <w:rFonts w:hint="eastAsia"/>
                <w:sz w:val="18"/>
                <w:szCs w:val="18"/>
                <w:vertAlign w:val="subscript"/>
                <w:lang w:val="en-US" w:eastAsia="zh-CN"/>
              </w:rPr>
              <w:t>3</w:t>
            </w:r>
          </w:p>
        </w:tc>
        <w:tc>
          <w:tcPr>
            <w:tcW w:w="1181"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sz w:val="21"/>
                <w:szCs w:val="21"/>
                <w:lang w:val="en-US" w:eastAsia="zh-CN"/>
              </w:rPr>
              <w:t>0.187%</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noWrap/>
            <w:vAlign w:val="center"/>
          </w:tcPr>
          <w:p>
            <w:pPr>
              <w:jc w:val="center"/>
              <w:rPr>
                <w:sz w:val="18"/>
                <w:szCs w:val="18"/>
              </w:rPr>
            </w:pPr>
          </w:p>
        </w:tc>
        <w:tc>
          <w:tcPr>
            <w:tcW w:w="1590"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lang w:val="en-US" w:eastAsia="zh-CN"/>
                <w14:textFill>
                  <w14:solidFill>
                    <w14:schemeClr w14:val="tx1"/>
                  </w14:solidFill>
                </w14:textFill>
              </w:rPr>
            </w:pPr>
          </w:p>
        </w:tc>
        <w:tc>
          <w:tcPr>
            <w:tcW w:w="1018" w:type="dxa"/>
            <w:vMerge w:val="continue"/>
            <w:noWrap/>
            <w:vAlign w:val="center"/>
          </w:tcPr>
          <w:p>
            <w:pPr>
              <w:jc w:val="center"/>
              <w:rPr>
                <w:rFonts w:hint="eastAsia"/>
                <w:color w:val="000000" w:themeColor="text1"/>
                <w:sz w:val="18"/>
                <w:szCs w:val="18"/>
                <w:lang w:val="en-US" w:eastAsia="zh-CN"/>
                <w14:textFill>
                  <w14:solidFill>
                    <w14:schemeClr w14:val="tx1"/>
                  </w14:solidFill>
                </w14:textFill>
              </w:rPr>
            </w:pPr>
          </w:p>
        </w:tc>
        <w:tc>
          <w:tcPr>
            <w:tcW w:w="666" w:type="dxa"/>
            <w:vMerge w:val="continue"/>
            <w:noWrap/>
            <w:vAlign w:val="center"/>
          </w:tcPr>
          <w:p>
            <w:pPr>
              <w:keepNext w:val="0"/>
              <w:keepLines w:val="0"/>
              <w:widowControl/>
              <w:suppressLineNumbers w:val="0"/>
              <w:jc w:val="center"/>
              <w:textAlignment w:val="center"/>
              <w:rPr>
                <w:rFonts w:hint="eastAsia"/>
                <w:sz w:val="18"/>
                <w:szCs w:val="18"/>
                <w:lang w:val="en-US" w:eastAsia="zh-CN"/>
              </w:rPr>
            </w:pPr>
          </w:p>
        </w:tc>
        <w:tc>
          <w:tcPr>
            <w:tcW w:w="1181"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sz w:val="21"/>
                <w:szCs w:val="21"/>
                <w:lang w:val="en-US" w:eastAsia="zh-CN"/>
              </w:rPr>
              <w:t>0.475%</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796" w:type="dxa"/>
            <w:vMerge w:val="continue"/>
            <w:noWrap/>
            <w:vAlign w:val="center"/>
          </w:tcPr>
          <w:p>
            <w:pPr>
              <w:jc w:val="center"/>
              <w:rPr>
                <w:rFonts w:hint="default" w:ascii="Times New Roman" w:hAnsi="Times New Roman" w:cs="Times New Roman"/>
                <w:sz w:val="18"/>
                <w:szCs w:val="18"/>
              </w:rPr>
            </w:pPr>
          </w:p>
        </w:tc>
        <w:tc>
          <w:tcPr>
            <w:tcW w:w="796" w:type="dxa"/>
            <w:vMerge w:val="continue"/>
            <w:noWrap/>
            <w:vAlign w:val="center"/>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restart"/>
            <w:noWrap/>
            <w:vAlign w:val="center"/>
          </w:tcPr>
          <w:p>
            <w:pPr>
              <w:jc w:val="center"/>
              <w:rPr>
                <w:sz w:val="18"/>
                <w:szCs w:val="18"/>
              </w:rPr>
            </w:pPr>
            <w:r>
              <w:rPr>
                <w:sz w:val="18"/>
                <w:szCs w:val="18"/>
              </w:rPr>
              <w:t>3</w:t>
            </w:r>
          </w:p>
        </w:tc>
        <w:tc>
          <w:tcPr>
            <w:tcW w:w="1590"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rFonts w:hint="eastAsia"/>
                <w:color w:val="000000" w:themeColor="text1"/>
                <w:sz w:val="18"/>
                <w:szCs w:val="18"/>
                <w:lang w:val="en-US" w:eastAsia="zh-CN"/>
                <w14:textFill>
                  <w14:solidFill>
                    <w14:schemeClr w14:val="tx1"/>
                  </w14:solidFill>
                </w14:textFill>
              </w:rPr>
              <w:t>鹤壁市创新仪器仪表有限公司</w:t>
            </w:r>
          </w:p>
        </w:tc>
        <w:tc>
          <w:tcPr>
            <w:tcW w:w="1018" w:type="dxa"/>
            <w:vMerge w:val="restart"/>
            <w:noWrap/>
            <w:vAlign w:val="center"/>
          </w:tcPr>
          <w:p>
            <w:pPr>
              <w:jc w:val="center"/>
              <w:rPr>
                <w:sz w:val="18"/>
                <w:szCs w:val="18"/>
              </w:rPr>
            </w:pPr>
            <w:r>
              <w:rPr>
                <w:rFonts w:hint="eastAsia"/>
                <w:color w:val="000000" w:themeColor="text1"/>
                <w:sz w:val="18"/>
                <w:szCs w:val="18"/>
                <w:lang w:val="en-US" w:eastAsia="zh-CN"/>
                <w14:textFill>
                  <w14:solidFill>
                    <w14:schemeClr w14:val="tx1"/>
                  </w14:solidFill>
                </w14:textFill>
              </w:rPr>
              <w:t>YG6000</w:t>
            </w:r>
          </w:p>
        </w:tc>
        <w:tc>
          <w:tcPr>
            <w:tcW w:w="66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ascii="Times New Roman" w:hAnsi="Times New Roman" w:eastAsia="宋体" w:cs="Times New Roman"/>
                <w:sz w:val="18"/>
                <w:szCs w:val="18"/>
                <w:vertAlign w:val="baseline"/>
                <w:lang w:val="en-US" w:eastAsia="zh-CN"/>
              </w:rPr>
              <w:t>CaO</w:t>
            </w:r>
          </w:p>
        </w:tc>
        <w:tc>
          <w:tcPr>
            <w:tcW w:w="1181"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sz w:val="21"/>
                <w:szCs w:val="21"/>
                <w:lang w:val="en-US" w:eastAsia="zh-CN"/>
              </w:rPr>
              <w:t>28.73%</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0.18%</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noWrap/>
            <w:vAlign w:val="center"/>
          </w:tcPr>
          <w:p>
            <w:pPr>
              <w:jc w:val="center"/>
              <w:rPr>
                <w:sz w:val="18"/>
                <w:szCs w:val="18"/>
              </w:rPr>
            </w:pPr>
          </w:p>
        </w:tc>
        <w:tc>
          <w:tcPr>
            <w:tcW w:w="1590"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lang w:val="en-US" w:eastAsia="zh-CN"/>
                <w14:textFill>
                  <w14:solidFill>
                    <w14:schemeClr w14:val="tx1"/>
                  </w14:solidFill>
                </w14:textFill>
              </w:rPr>
            </w:pPr>
          </w:p>
        </w:tc>
        <w:tc>
          <w:tcPr>
            <w:tcW w:w="1018" w:type="dxa"/>
            <w:vMerge w:val="continue"/>
            <w:noWrap/>
            <w:vAlign w:val="center"/>
          </w:tcPr>
          <w:p>
            <w:pPr>
              <w:jc w:val="center"/>
              <w:rPr>
                <w:rFonts w:hint="eastAsia"/>
                <w:color w:val="000000" w:themeColor="text1"/>
                <w:sz w:val="18"/>
                <w:szCs w:val="18"/>
                <w:lang w:val="en-US" w:eastAsia="zh-CN"/>
                <w14:textFill>
                  <w14:solidFill>
                    <w14:schemeClr w14:val="tx1"/>
                  </w14:solidFill>
                </w14:textFill>
              </w:rPr>
            </w:pPr>
          </w:p>
        </w:tc>
        <w:tc>
          <w:tcPr>
            <w:tcW w:w="666" w:type="dxa"/>
            <w:vMerge w:val="continue"/>
            <w:noWrap/>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vertAlign w:val="baseline"/>
                <w:lang w:val="en-US" w:eastAsia="zh-CN"/>
              </w:rPr>
            </w:pPr>
          </w:p>
        </w:tc>
        <w:tc>
          <w:tcPr>
            <w:tcW w:w="1181"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cs="Times New Roman"/>
                <w:sz w:val="18"/>
                <w:szCs w:val="18"/>
                <w:lang w:val="en-US" w:eastAsia="zh-CN"/>
              </w:rPr>
              <w:t>46.09%</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-0.03%</w:t>
            </w:r>
          </w:p>
        </w:tc>
        <w:tc>
          <w:tcPr>
            <w:tcW w:w="796" w:type="dxa"/>
            <w:vMerge w:val="continue"/>
            <w:noWrap/>
            <w:vAlign w:val="center"/>
          </w:tcPr>
          <w:p>
            <w:pPr>
              <w:jc w:val="center"/>
              <w:rPr>
                <w:rFonts w:hint="default" w:ascii="Times New Roman" w:hAnsi="Times New Roman" w:cs="Times New Roman"/>
                <w:sz w:val="18"/>
                <w:szCs w:val="18"/>
              </w:rPr>
            </w:pPr>
          </w:p>
        </w:tc>
        <w:tc>
          <w:tcPr>
            <w:tcW w:w="796" w:type="dxa"/>
            <w:vMerge w:val="continue"/>
            <w:noWrap/>
            <w:vAlign w:val="center"/>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noWrap/>
            <w:vAlign w:val="center"/>
          </w:tcPr>
          <w:p>
            <w:pPr>
              <w:jc w:val="center"/>
              <w:rPr>
                <w:sz w:val="18"/>
                <w:szCs w:val="18"/>
              </w:rPr>
            </w:pPr>
          </w:p>
        </w:tc>
        <w:tc>
          <w:tcPr>
            <w:tcW w:w="1590"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lang w:val="en-US" w:eastAsia="zh-CN"/>
                <w14:textFill>
                  <w14:solidFill>
                    <w14:schemeClr w14:val="tx1"/>
                  </w14:solidFill>
                </w14:textFill>
              </w:rPr>
            </w:pPr>
          </w:p>
        </w:tc>
        <w:tc>
          <w:tcPr>
            <w:tcW w:w="1018" w:type="dxa"/>
            <w:vMerge w:val="continue"/>
            <w:noWrap/>
            <w:vAlign w:val="center"/>
          </w:tcPr>
          <w:p>
            <w:pPr>
              <w:jc w:val="center"/>
              <w:rPr>
                <w:rFonts w:hint="eastAsia"/>
                <w:color w:val="000000" w:themeColor="text1"/>
                <w:sz w:val="18"/>
                <w:szCs w:val="18"/>
                <w:lang w:val="en-US" w:eastAsia="zh-CN"/>
                <w14:textFill>
                  <w14:solidFill>
                    <w14:schemeClr w14:val="tx1"/>
                  </w14:solidFill>
                </w14:textFill>
              </w:rPr>
            </w:pPr>
          </w:p>
        </w:tc>
        <w:tc>
          <w:tcPr>
            <w:tcW w:w="66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sz w:val="18"/>
                <w:szCs w:val="18"/>
                <w:lang w:val="en-US" w:eastAsia="zh-CN"/>
              </w:rPr>
              <w:t>Fe</w:t>
            </w:r>
            <w:r>
              <w:rPr>
                <w:rFonts w:hint="eastAsia"/>
                <w:sz w:val="18"/>
                <w:szCs w:val="18"/>
                <w:vertAlign w:val="subscript"/>
                <w:lang w:val="en-US" w:eastAsia="zh-CN"/>
              </w:rPr>
              <w:t>2</w:t>
            </w:r>
            <w:r>
              <w:rPr>
                <w:rFonts w:hint="eastAsia"/>
                <w:sz w:val="18"/>
                <w:szCs w:val="18"/>
                <w:lang w:val="en-US" w:eastAsia="zh-CN"/>
              </w:rPr>
              <w:t>O</w:t>
            </w:r>
            <w:r>
              <w:rPr>
                <w:rFonts w:hint="eastAsia"/>
                <w:sz w:val="18"/>
                <w:szCs w:val="18"/>
                <w:vertAlign w:val="subscript"/>
                <w:lang w:val="en-US" w:eastAsia="zh-CN"/>
              </w:rPr>
              <w:t>3</w:t>
            </w:r>
          </w:p>
        </w:tc>
        <w:tc>
          <w:tcPr>
            <w:tcW w:w="1181"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sz w:val="21"/>
                <w:szCs w:val="21"/>
                <w:lang w:val="en-US" w:eastAsia="zh-CN"/>
              </w:rPr>
              <w:t>0.187%</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796" w:type="dxa"/>
            <w:vMerge w:val="restart"/>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noWrap/>
            <w:vAlign w:val="center"/>
          </w:tcPr>
          <w:p>
            <w:pPr>
              <w:jc w:val="center"/>
              <w:rPr>
                <w:sz w:val="18"/>
                <w:szCs w:val="18"/>
              </w:rPr>
            </w:pPr>
          </w:p>
        </w:tc>
        <w:tc>
          <w:tcPr>
            <w:tcW w:w="1590" w:type="dxa"/>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lang w:val="en-US" w:eastAsia="zh-CN"/>
                <w14:textFill>
                  <w14:solidFill>
                    <w14:schemeClr w14:val="tx1"/>
                  </w14:solidFill>
                </w14:textFill>
              </w:rPr>
            </w:pPr>
          </w:p>
        </w:tc>
        <w:tc>
          <w:tcPr>
            <w:tcW w:w="1018" w:type="dxa"/>
            <w:vMerge w:val="continue"/>
            <w:noWrap/>
            <w:vAlign w:val="center"/>
          </w:tcPr>
          <w:p>
            <w:pPr>
              <w:jc w:val="center"/>
              <w:rPr>
                <w:rFonts w:hint="eastAsia"/>
                <w:color w:val="000000" w:themeColor="text1"/>
                <w:sz w:val="18"/>
                <w:szCs w:val="18"/>
                <w:lang w:val="en-US" w:eastAsia="zh-CN"/>
                <w14:textFill>
                  <w14:solidFill>
                    <w14:schemeClr w14:val="tx1"/>
                  </w14:solidFill>
                </w14:textFill>
              </w:rPr>
            </w:pPr>
          </w:p>
        </w:tc>
        <w:tc>
          <w:tcPr>
            <w:tcW w:w="666" w:type="dxa"/>
            <w:vMerge w:val="continue"/>
            <w:noWrap/>
            <w:vAlign w:val="center"/>
          </w:tcPr>
          <w:p>
            <w:pPr>
              <w:keepNext w:val="0"/>
              <w:keepLines w:val="0"/>
              <w:widowControl/>
              <w:suppressLineNumbers w:val="0"/>
              <w:jc w:val="center"/>
              <w:textAlignment w:val="center"/>
              <w:rPr>
                <w:rFonts w:hint="eastAsia"/>
                <w:sz w:val="18"/>
                <w:szCs w:val="18"/>
                <w:lang w:val="en-US" w:eastAsia="zh-CN"/>
              </w:rPr>
            </w:pPr>
          </w:p>
        </w:tc>
        <w:tc>
          <w:tcPr>
            <w:tcW w:w="1181"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eastAsia"/>
                <w:sz w:val="21"/>
                <w:szCs w:val="21"/>
                <w:lang w:val="en-US" w:eastAsia="zh-CN"/>
              </w:rPr>
              <w:t>0.475%</w:t>
            </w:r>
          </w:p>
        </w:tc>
        <w:tc>
          <w:tcPr>
            <w:tcW w:w="1353" w:type="dxa"/>
            <w:noWrap/>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796" w:type="dxa"/>
            <w:vMerge w:val="continue"/>
            <w:noWrap/>
            <w:vAlign w:val="center"/>
          </w:tcPr>
          <w:p>
            <w:pPr>
              <w:jc w:val="center"/>
              <w:rPr>
                <w:rFonts w:hint="default" w:ascii="Times New Roman" w:hAnsi="Times New Roman" w:cs="Times New Roman"/>
                <w:sz w:val="18"/>
                <w:szCs w:val="18"/>
              </w:rPr>
            </w:pPr>
          </w:p>
        </w:tc>
        <w:tc>
          <w:tcPr>
            <w:tcW w:w="796" w:type="dxa"/>
            <w:vMerge w:val="continue"/>
            <w:noWrap/>
            <w:vAlign w:val="center"/>
          </w:tcPr>
          <w:p>
            <w:pPr>
              <w:jc w:val="center"/>
              <w:rPr>
                <w:rFonts w:hint="default" w:ascii="Times New Roman" w:hAnsi="Times New Roman" w:cs="Times New Roman"/>
                <w:sz w:val="18"/>
                <w:szCs w:val="18"/>
              </w:rPr>
            </w:pPr>
          </w:p>
        </w:tc>
      </w:tr>
    </w:tbl>
    <w:p>
      <w:pPr>
        <w:pStyle w:val="24"/>
        <w:spacing w:line="360" w:lineRule="auto"/>
        <w:ind w:firstLine="480"/>
        <w:rPr>
          <w:sz w:val="24"/>
        </w:rPr>
      </w:pPr>
      <w:r>
        <w:rPr>
          <w:rFonts w:ascii="宋体" w:hAnsi="宋体" w:cs="宋体"/>
          <w:sz w:val="24"/>
        </w:rPr>
        <w:t>通过以上的试验报告和验证数据，验证了本规范提出的校准用设备、计量性能规定等符合规范提出的范围区间。证明了本校准规范的指标参数、技术要求、试验方法等内容是能够充分满足目前在用的</w:t>
      </w:r>
      <w:r>
        <w:rPr>
          <w:rFonts w:hint="eastAsia"/>
          <w:bCs/>
          <w:sz w:val="24"/>
        </w:rPr>
        <w:t>X射线荧光法钙铁含量分析仪</w:t>
      </w:r>
      <w:r>
        <w:rPr>
          <w:rFonts w:ascii="宋体" w:hAnsi="宋体" w:cs="宋体"/>
          <w:sz w:val="24"/>
        </w:rPr>
        <w:t>的技术要求，最终试验验证的结论是校准规范是科学的、具有很好的可操作性、可执行性和实用性。</w:t>
      </w:r>
    </w:p>
    <w:p>
      <w:pPr>
        <w:spacing w:line="360" w:lineRule="auto"/>
        <w:ind w:firstLine="480" w:firstLineChars="200"/>
        <w:rPr>
          <w:rFonts w:hint="eastAsia" w:ascii="宋体" w:hAnsi="宋体" w:cs="宋体"/>
          <w:sz w:val="24"/>
        </w:rPr>
      </w:pPr>
      <w:r>
        <w:rPr>
          <w:rFonts w:hint="eastAsia" w:ascii="宋体" w:hAnsi="宋体" w:cs="宋体"/>
          <w:sz w:val="24"/>
        </w:rPr>
        <w:t>具体的试验验证结果见试验报告，结果表明规范编制条款制定合理，可操作性强。</w:t>
      </w:r>
    </w:p>
    <w:sectPr>
      <w:headerReference r:id="rId3" w:type="default"/>
      <w:footerReference r:id="rId4" w:type="even"/>
      <w:pgSz w:w="11906" w:h="16838"/>
      <w:pgMar w:top="1440" w:right="1800" w:bottom="1440" w:left="1800" w:header="851" w:footer="992" w:gutter="0"/>
      <w:pgNumType w:start="3"/>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26F263-D432-4B16-9A6F-8BA24765C266}"/>
  </w:font>
  <w:font w:name="Arial">
    <w:panose1 w:val="020B0604020202020204"/>
    <w:charset w:val="01"/>
    <w:family w:val="swiss"/>
    <w:pitch w:val="default"/>
    <w:sig w:usb0="E0002EFF" w:usb1="C000785B" w:usb2="00000009" w:usb3="00000000" w:csb0="400001FF" w:csb1="FFFF0000"/>
    <w:embedRegular r:id="rId2" w:fontKey="{D2C2EE48-A30E-4C1C-A19A-1C7523DB6925}"/>
  </w:font>
  <w:font w:name="黑体">
    <w:panose1 w:val="02010609060101010101"/>
    <w:charset w:val="86"/>
    <w:family w:val="auto"/>
    <w:pitch w:val="default"/>
    <w:sig w:usb0="800002BF" w:usb1="38CF7CFA" w:usb2="00000016" w:usb3="00000000" w:csb0="00040001" w:csb1="00000000"/>
    <w:embedRegular r:id="rId3" w:fontKey="{8BC6B46F-0058-4291-A0EC-28BD886B55B3}"/>
  </w:font>
  <w:font w:name="Courier New">
    <w:panose1 w:val="02070309020205020404"/>
    <w:charset w:val="01"/>
    <w:family w:val="modern"/>
    <w:pitch w:val="default"/>
    <w:sig w:usb0="E0002EFF" w:usb1="C0007843" w:usb2="00000009" w:usb3="00000000" w:csb0="400001FF" w:csb1="FFFF0000"/>
    <w:embedRegular r:id="rId4" w:fontKey="{374EDCE3-CFA1-4E52-AEB0-1B6361E5DD61}"/>
  </w:font>
  <w:font w:name="Symbol">
    <w:panose1 w:val="05050102010706020507"/>
    <w:charset w:val="02"/>
    <w:family w:val="roman"/>
    <w:pitch w:val="default"/>
    <w:sig w:usb0="00000000" w:usb1="00000000" w:usb2="00000000" w:usb3="00000000" w:csb0="80000000" w:csb1="00000000"/>
    <w:embedRegular r:id="rId5" w:fontKey="{9A195508-B898-45A8-8C9E-D1377892EE99}"/>
  </w:font>
  <w:font w:name="Calibri">
    <w:panose1 w:val="020F0502020204030204"/>
    <w:charset w:val="00"/>
    <w:family w:val="swiss"/>
    <w:pitch w:val="default"/>
    <w:sig w:usb0="E4002EFF" w:usb1="C000247B" w:usb2="00000009" w:usb3="00000000" w:csb0="200001FF" w:csb1="00000000"/>
    <w:embedRegular r:id="rId6" w:fontKey="{0B36AA33-BBE8-4CA3-902D-8747EE268DBA}"/>
  </w:font>
  <w:font w:name="方正仿宋_GB2312">
    <w:altName w:val="仿宋"/>
    <w:panose1 w:val="02000000000000000000"/>
    <w:charset w:val="86"/>
    <w:family w:val="auto"/>
    <w:pitch w:val="default"/>
    <w:sig w:usb0="00000000" w:usb1="00000000" w:usb2="00000012" w:usb3="00000000" w:csb0="00040001" w:csb1="00000000"/>
    <w:embedRegular r:id="rId7" w:fontKey="{8B9F6711-4129-478F-A780-9E852083A1EC}"/>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DD61F"/>
    <w:multiLevelType w:val="singleLevel"/>
    <w:tmpl w:val="919DD61F"/>
    <w:lvl w:ilvl="0" w:tentative="0">
      <w:start w:val="2"/>
      <w:numFmt w:val="chineseCounting"/>
      <w:suff w:val="nothing"/>
      <w:lvlText w:val="%1、"/>
      <w:lvlJc w:val="left"/>
      <w:rPr>
        <w:rFonts w:hint="eastAsia"/>
      </w:rPr>
    </w:lvl>
  </w:abstractNum>
  <w:abstractNum w:abstractNumId="1">
    <w:nsid w:val="27FF2E01"/>
    <w:multiLevelType w:val="multilevel"/>
    <w:tmpl w:val="27FF2E01"/>
    <w:lvl w:ilvl="0" w:tentative="0">
      <w:start w:val="1"/>
      <w:numFmt w:val="decimal"/>
      <w:lvlText w:val="%1"/>
      <w:lvlJc w:val="left"/>
      <w:pPr>
        <w:ind w:left="425" w:hanging="425"/>
      </w:pPr>
      <w:rPr>
        <w:rFonts w:hint="eastAsia"/>
        <w:b w:val="0"/>
        <w:i w:val="0"/>
        <w:sz w:val="24"/>
        <w:szCs w:val="24"/>
      </w:rPr>
    </w:lvl>
    <w:lvl w:ilvl="1" w:tentative="0">
      <w:start w:val="1"/>
      <w:numFmt w:val="decimal"/>
      <w:lvlText w:val="%1.%2"/>
      <w:lvlJc w:val="left"/>
      <w:pPr>
        <w:ind w:left="992" w:hanging="567"/>
      </w:pPr>
      <w:rPr>
        <w:rFonts w:hint="default" w:ascii="Times New Roman" w:hAnsi="Times New Roman" w:eastAsia="宋体" w:cs="Times New Roman"/>
        <w:b w:val="0"/>
        <w:i w:val="0"/>
        <w:iCs w:val="0"/>
        <w:caps w:val="0"/>
        <w:smallCaps w:val="0"/>
        <w:strike w:val="0"/>
        <w:dstrike w:val="0"/>
        <w:vanish w:val="0"/>
        <w:color w:val="auto"/>
        <w:spacing w:val="0"/>
        <w:position w:val="0"/>
        <w:u w:val="none"/>
        <w:vertAlign w:val="baseline"/>
      </w:rPr>
    </w:lvl>
    <w:lvl w:ilvl="2" w:tentative="0">
      <w:start w:val="1"/>
      <w:numFmt w:val="decimal"/>
      <w:pStyle w:val="27"/>
      <w:lvlText w:val="%1.%2.%3"/>
      <w:lvlJc w:val="left"/>
      <w:pPr>
        <w:ind w:left="1418" w:hanging="567"/>
      </w:pPr>
      <w:rPr>
        <w:rFonts w:hint="eastAsia" w:ascii="Arial" w:hAnsi="Arial" w:eastAsia="黑体" w:cs="Times New Roman"/>
        <w:b w:val="0"/>
        <w:bCs w:val="0"/>
        <w:i w:val="0"/>
        <w:iCs w:val="0"/>
        <w:caps w:val="0"/>
        <w:smallCaps w:val="0"/>
        <w:strike w:val="0"/>
        <w:dstrike w:val="0"/>
        <w:vanish w:val="0"/>
        <w:color w:val="auto"/>
        <w:spacing w:val="0"/>
        <w:position w:val="0"/>
        <w:sz w:val="24"/>
        <w:szCs w:val="24"/>
        <w:u w:val="none"/>
        <w:vertAlign w:val="baseline"/>
      </w:rPr>
    </w:lvl>
    <w:lvl w:ilvl="3" w:tentative="0">
      <w:start w:val="1"/>
      <w:numFmt w:val="decimal"/>
      <w:lvlText w:val="%1.%2.%3.%4"/>
      <w:lvlJc w:val="left"/>
      <w:pPr>
        <w:ind w:left="1984" w:hanging="708"/>
      </w:pPr>
      <w:rPr>
        <w:rFonts w:hint="default" w:cs="Arial"/>
        <w:b w:val="0"/>
        <w:sz w:val="24"/>
        <w:szCs w:val="24"/>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4NzEzOTFlZDNkMmUxMGVjYzAxYmEzOTY3OTQwNzEifQ=="/>
  </w:docVars>
  <w:rsids>
    <w:rsidRoot w:val="00547A1B"/>
    <w:rsid w:val="00007BC0"/>
    <w:rsid w:val="0001152E"/>
    <w:rsid w:val="00012787"/>
    <w:rsid w:val="00020C94"/>
    <w:rsid w:val="00022FCA"/>
    <w:rsid w:val="0005001E"/>
    <w:rsid w:val="00053A23"/>
    <w:rsid w:val="00056A6F"/>
    <w:rsid w:val="00062CC1"/>
    <w:rsid w:val="00074A00"/>
    <w:rsid w:val="00080A7D"/>
    <w:rsid w:val="00080BC7"/>
    <w:rsid w:val="00080D32"/>
    <w:rsid w:val="0009671D"/>
    <w:rsid w:val="000A04A7"/>
    <w:rsid w:val="000A459A"/>
    <w:rsid w:val="000A4FF3"/>
    <w:rsid w:val="000C6DD1"/>
    <w:rsid w:val="000D05F5"/>
    <w:rsid w:val="000E23E5"/>
    <w:rsid w:val="000F582D"/>
    <w:rsid w:val="00100615"/>
    <w:rsid w:val="0010144E"/>
    <w:rsid w:val="001170C6"/>
    <w:rsid w:val="001271AD"/>
    <w:rsid w:val="00141568"/>
    <w:rsid w:val="00145010"/>
    <w:rsid w:val="00161C14"/>
    <w:rsid w:val="00164289"/>
    <w:rsid w:val="00173D2B"/>
    <w:rsid w:val="0018695E"/>
    <w:rsid w:val="00197242"/>
    <w:rsid w:val="001B28EF"/>
    <w:rsid w:val="001E218D"/>
    <w:rsid w:val="001F7D4A"/>
    <w:rsid w:val="00202C98"/>
    <w:rsid w:val="00214E43"/>
    <w:rsid w:val="00230178"/>
    <w:rsid w:val="00230957"/>
    <w:rsid w:val="00231847"/>
    <w:rsid w:val="00251BAA"/>
    <w:rsid w:val="002846D4"/>
    <w:rsid w:val="002A066C"/>
    <w:rsid w:val="002A3EB4"/>
    <w:rsid w:val="002B4427"/>
    <w:rsid w:val="002C5775"/>
    <w:rsid w:val="003015CF"/>
    <w:rsid w:val="0030714D"/>
    <w:rsid w:val="00331A19"/>
    <w:rsid w:val="00351003"/>
    <w:rsid w:val="00366558"/>
    <w:rsid w:val="003739BB"/>
    <w:rsid w:val="00382354"/>
    <w:rsid w:val="0038343D"/>
    <w:rsid w:val="003A7CD2"/>
    <w:rsid w:val="003C1840"/>
    <w:rsid w:val="003E2D09"/>
    <w:rsid w:val="003E4104"/>
    <w:rsid w:val="003E5DFF"/>
    <w:rsid w:val="00426B6B"/>
    <w:rsid w:val="0043053D"/>
    <w:rsid w:val="00436121"/>
    <w:rsid w:val="004461B6"/>
    <w:rsid w:val="004502FC"/>
    <w:rsid w:val="00464260"/>
    <w:rsid w:val="004917B4"/>
    <w:rsid w:val="00492BE8"/>
    <w:rsid w:val="004B0098"/>
    <w:rsid w:val="004C1B64"/>
    <w:rsid w:val="004E6217"/>
    <w:rsid w:val="004F559C"/>
    <w:rsid w:val="005006A5"/>
    <w:rsid w:val="00526C75"/>
    <w:rsid w:val="00533D8E"/>
    <w:rsid w:val="005400D1"/>
    <w:rsid w:val="00547A1B"/>
    <w:rsid w:val="00551D10"/>
    <w:rsid w:val="00576137"/>
    <w:rsid w:val="00592EDD"/>
    <w:rsid w:val="00594EA7"/>
    <w:rsid w:val="005B71A7"/>
    <w:rsid w:val="005D6C87"/>
    <w:rsid w:val="005D7A80"/>
    <w:rsid w:val="005E00B2"/>
    <w:rsid w:val="005E1859"/>
    <w:rsid w:val="005F7D50"/>
    <w:rsid w:val="00602E4F"/>
    <w:rsid w:val="006079B9"/>
    <w:rsid w:val="00610041"/>
    <w:rsid w:val="0061164A"/>
    <w:rsid w:val="00647C50"/>
    <w:rsid w:val="0066667B"/>
    <w:rsid w:val="00684713"/>
    <w:rsid w:val="00687A3B"/>
    <w:rsid w:val="00697F50"/>
    <w:rsid w:val="006A0B42"/>
    <w:rsid w:val="006D59C6"/>
    <w:rsid w:val="006F6F0D"/>
    <w:rsid w:val="00713C55"/>
    <w:rsid w:val="00722FD0"/>
    <w:rsid w:val="0072364E"/>
    <w:rsid w:val="00757726"/>
    <w:rsid w:val="007746AB"/>
    <w:rsid w:val="0077759C"/>
    <w:rsid w:val="007A3513"/>
    <w:rsid w:val="007D0CC4"/>
    <w:rsid w:val="007D2C4F"/>
    <w:rsid w:val="007F78C8"/>
    <w:rsid w:val="008055BF"/>
    <w:rsid w:val="008134E5"/>
    <w:rsid w:val="00830865"/>
    <w:rsid w:val="00830E56"/>
    <w:rsid w:val="0083427B"/>
    <w:rsid w:val="00846193"/>
    <w:rsid w:val="00847455"/>
    <w:rsid w:val="0084778F"/>
    <w:rsid w:val="0085195D"/>
    <w:rsid w:val="00862718"/>
    <w:rsid w:val="008729DE"/>
    <w:rsid w:val="008939FD"/>
    <w:rsid w:val="008F567D"/>
    <w:rsid w:val="00916D46"/>
    <w:rsid w:val="00923F16"/>
    <w:rsid w:val="00934B8B"/>
    <w:rsid w:val="00936A7E"/>
    <w:rsid w:val="0095580D"/>
    <w:rsid w:val="00957785"/>
    <w:rsid w:val="00970A79"/>
    <w:rsid w:val="0098741F"/>
    <w:rsid w:val="00993ABE"/>
    <w:rsid w:val="00996BCD"/>
    <w:rsid w:val="009A0F94"/>
    <w:rsid w:val="009B2C5F"/>
    <w:rsid w:val="009B49D3"/>
    <w:rsid w:val="009D7692"/>
    <w:rsid w:val="009E413A"/>
    <w:rsid w:val="00A15953"/>
    <w:rsid w:val="00A404E4"/>
    <w:rsid w:val="00A45BA4"/>
    <w:rsid w:val="00A671F9"/>
    <w:rsid w:val="00A75A7D"/>
    <w:rsid w:val="00A76B38"/>
    <w:rsid w:val="00A80EA5"/>
    <w:rsid w:val="00A93058"/>
    <w:rsid w:val="00AB1AB2"/>
    <w:rsid w:val="00AC134D"/>
    <w:rsid w:val="00AC14BD"/>
    <w:rsid w:val="00AC3FBD"/>
    <w:rsid w:val="00AD7BDF"/>
    <w:rsid w:val="00B2089B"/>
    <w:rsid w:val="00B57B38"/>
    <w:rsid w:val="00B60ADE"/>
    <w:rsid w:val="00B777CC"/>
    <w:rsid w:val="00B94777"/>
    <w:rsid w:val="00BA5200"/>
    <w:rsid w:val="00BB3137"/>
    <w:rsid w:val="00BB598E"/>
    <w:rsid w:val="00BC20BA"/>
    <w:rsid w:val="00BD6E71"/>
    <w:rsid w:val="00BE19AE"/>
    <w:rsid w:val="00BF540D"/>
    <w:rsid w:val="00C06927"/>
    <w:rsid w:val="00C077E8"/>
    <w:rsid w:val="00C157FA"/>
    <w:rsid w:val="00C24046"/>
    <w:rsid w:val="00C24A11"/>
    <w:rsid w:val="00C34617"/>
    <w:rsid w:val="00C35D4E"/>
    <w:rsid w:val="00C444B1"/>
    <w:rsid w:val="00C63401"/>
    <w:rsid w:val="00CF4B10"/>
    <w:rsid w:val="00D038CD"/>
    <w:rsid w:val="00D06C92"/>
    <w:rsid w:val="00D33351"/>
    <w:rsid w:val="00D3468D"/>
    <w:rsid w:val="00D515DE"/>
    <w:rsid w:val="00D61323"/>
    <w:rsid w:val="00D63E98"/>
    <w:rsid w:val="00D83CEF"/>
    <w:rsid w:val="00D925FC"/>
    <w:rsid w:val="00DC5B0A"/>
    <w:rsid w:val="00DD5A74"/>
    <w:rsid w:val="00DE2A2E"/>
    <w:rsid w:val="00DE77B5"/>
    <w:rsid w:val="00DF463B"/>
    <w:rsid w:val="00E01EC3"/>
    <w:rsid w:val="00E11FD3"/>
    <w:rsid w:val="00E161FF"/>
    <w:rsid w:val="00E44DF0"/>
    <w:rsid w:val="00E51645"/>
    <w:rsid w:val="00E7101D"/>
    <w:rsid w:val="00E75C02"/>
    <w:rsid w:val="00E9246F"/>
    <w:rsid w:val="00EA125D"/>
    <w:rsid w:val="00EB6B3E"/>
    <w:rsid w:val="00EC69FA"/>
    <w:rsid w:val="00ED6655"/>
    <w:rsid w:val="00EF0490"/>
    <w:rsid w:val="00EF4AD7"/>
    <w:rsid w:val="00EF4EF5"/>
    <w:rsid w:val="00F22D8D"/>
    <w:rsid w:val="00F2386B"/>
    <w:rsid w:val="00F3218E"/>
    <w:rsid w:val="00F40708"/>
    <w:rsid w:val="00F40B52"/>
    <w:rsid w:val="00F430E7"/>
    <w:rsid w:val="00FA309B"/>
    <w:rsid w:val="00FA3979"/>
    <w:rsid w:val="00FB7E77"/>
    <w:rsid w:val="00FC27F6"/>
    <w:rsid w:val="00FD37EC"/>
    <w:rsid w:val="00FD6666"/>
    <w:rsid w:val="00FE3893"/>
    <w:rsid w:val="00FF3111"/>
    <w:rsid w:val="013F1634"/>
    <w:rsid w:val="017C2A57"/>
    <w:rsid w:val="019C2884"/>
    <w:rsid w:val="020621D6"/>
    <w:rsid w:val="02B15EAE"/>
    <w:rsid w:val="03F03F7E"/>
    <w:rsid w:val="046D29FE"/>
    <w:rsid w:val="048453B8"/>
    <w:rsid w:val="04EC6A38"/>
    <w:rsid w:val="052F639F"/>
    <w:rsid w:val="05E9141F"/>
    <w:rsid w:val="06484D30"/>
    <w:rsid w:val="06F058FC"/>
    <w:rsid w:val="07053AED"/>
    <w:rsid w:val="076F2BDA"/>
    <w:rsid w:val="07DF0617"/>
    <w:rsid w:val="08704579"/>
    <w:rsid w:val="09276239"/>
    <w:rsid w:val="099D4796"/>
    <w:rsid w:val="09CB4662"/>
    <w:rsid w:val="0A761D2C"/>
    <w:rsid w:val="0D104209"/>
    <w:rsid w:val="0DF9038E"/>
    <w:rsid w:val="0EA828EB"/>
    <w:rsid w:val="0EBF5CC3"/>
    <w:rsid w:val="0FF24A84"/>
    <w:rsid w:val="10275305"/>
    <w:rsid w:val="10442FF4"/>
    <w:rsid w:val="104A11DC"/>
    <w:rsid w:val="108F1E71"/>
    <w:rsid w:val="10DD5A17"/>
    <w:rsid w:val="10EA1EE2"/>
    <w:rsid w:val="131C1D6E"/>
    <w:rsid w:val="132F3F4B"/>
    <w:rsid w:val="14B96556"/>
    <w:rsid w:val="1552321E"/>
    <w:rsid w:val="155E2BFF"/>
    <w:rsid w:val="16741CCC"/>
    <w:rsid w:val="17694056"/>
    <w:rsid w:val="17B91C9D"/>
    <w:rsid w:val="1807337A"/>
    <w:rsid w:val="18AD42AB"/>
    <w:rsid w:val="18EE261C"/>
    <w:rsid w:val="193D1F88"/>
    <w:rsid w:val="1A6A4C5B"/>
    <w:rsid w:val="1ACD10AB"/>
    <w:rsid w:val="1AD35F73"/>
    <w:rsid w:val="1B5D63F1"/>
    <w:rsid w:val="1B937410"/>
    <w:rsid w:val="1BA63EB3"/>
    <w:rsid w:val="1BB033BD"/>
    <w:rsid w:val="1C4D2FB5"/>
    <w:rsid w:val="1C5C0A80"/>
    <w:rsid w:val="1CE75528"/>
    <w:rsid w:val="1D19536D"/>
    <w:rsid w:val="1D323866"/>
    <w:rsid w:val="1D9341C5"/>
    <w:rsid w:val="1DE135C2"/>
    <w:rsid w:val="1DF03317"/>
    <w:rsid w:val="1E2F5BEF"/>
    <w:rsid w:val="1EA02488"/>
    <w:rsid w:val="1F061B00"/>
    <w:rsid w:val="1F9A229C"/>
    <w:rsid w:val="1FFA48ED"/>
    <w:rsid w:val="21040504"/>
    <w:rsid w:val="22DC1F07"/>
    <w:rsid w:val="23831DC4"/>
    <w:rsid w:val="249863B9"/>
    <w:rsid w:val="266C2E7A"/>
    <w:rsid w:val="27774311"/>
    <w:rsid w:val="280C57D9"/>
    <w:rsid w:val="282C6878"/>
    <w:rsid w:val="2A974ECF"/>
    <w:rsid w:val="2AE02B4A"/>
    <w:rsid w:val="2AE80E83"/>
    <w:rsid w:val="2C474D58"/>
    <w:rsid w:val="2C494AB8"/>
    <w:rsid w:val="2C8313C9"/>
    <w:rsid w:val="2C89498C"/>
    <w:rsid w:val="2C912CE5"/>
    <w:rsid w:val="2CB04982"/>
    <w:rsid w:val="2D83304B"/>
    <w:rsid w:val="2F395895"/>
    <w:rsid w:val="2F5D17D0"/>
    <w:rsid w:val="2F762E67"/>
    <w:rsid w:val="2F781BEE"/>
    <w:rsid w:val="30454134"/>
    <w:rsid w:val="30515AD7"/>
    <w:rsid w:val="306015AF"/>
    <w:rsid w:val="30C55AD9"/>
    <w:rsid w:val="313474AF"/>
    <w:rsid w:val="31CC1DA3"/>
    <w:rsid w:val="323C3458"/>
    <w:rsid w:val="32B65B60"/>
    <w:rsid w:val="32BB5035"/>
    <w:rsid w:val="33165C11"/>
    <w:rsid w:val="33C839B9"/>
    <w:rsid w:val="33FD17CB"/>
    <w:rsid w:val="3411242C"/>
    <w:rsid w:val="34302089"/>
    <w:rsid w:val="34441E8D"/>
    <w:rsid w:val="34563E84"/>
    <w:rsid w:val="3468377B"/>
    <w:rsid w:val="3487581F"/>
    <w:rsid w:val="34AC4EA6"/>
    <w:rsid w:val="35976093"/>
    <w:rsid w:val="35D4148E"/>
    <w:rsid w:val="35E64236"/>
    <w:rsid w:val="377225EA"/>
    <w:rsid w:val="377D6516"/>
    <w:rsid w:val="37E24E7F"/>
    <w:rsid w:val="38836992"/>
    <w:rsid w:val="38C04793"/>
    <w:rsid w:val="39383E4E"/>
    <w:rsid w:val="39944EAD"/>
    <w:rsid w:val="3A835C04"/>
    <w:rsid w:val="3AD3644D"/>
    <w:rsid w:val="3B050454"/>
    <w:rsid w:val="3C4969B8"/>
    <w:rsid w:val="3C795C20"/>
    <w:rsid w:val="3D02177A"/>
    <w:rsid w:val="3D1C2411"/>
    <w:rsid w:val="3D416105"/>
    <w:rsid w:val="3D57631A"/>
    <w:rsid w:val="3D7B12D8"/>
    <w:rsid w:val="3D964D13"/>
    <w:rsid w:val="3E264AA8"/>
    <w:rsid w:val="3E341AF6"/>
    <w:rsid w:val="3E616720"/>
    <w:rsid w:val="3EE0010E"/>
    <w:rsid w:val="3F3A691A"/>
    <w:rsid w:val="3F9731E2"/>
    <w:rsid w:val="3FEA4345"/>
    <w:rsid w:val="40026F40"/>
    <w:rsid w:val="406135C6"/>
    <w:rsid w:val="421474C6"/>
    <w:rsid w:val="42527284"/>
    <w:rsid w:val="427A5B46"/>
    <w:rsid w:val="430449D6"/>
    <w:rsid w:val="434327F5"/>
    <w:rsid w:val="43603C1C"/>
    <w:rsid w:val="43C33713"/>
    <w:rsid w:val="43C64E89"/>
    <w:rsid w:val="44407F26"/>
    <w:rsid w:val="4466056F"/>
    <w:rsid w:val="44854272"/>
    <w:rsid w:val="44F22B38"/>
    <w:rsid w:val="45EA683B"/>
    <w:rsid w:val="45ED1805"/>
    <w:rsid w:val="46382F00"/>
    <w:rsid w:val="471C65C9"/>
    <w:rsid w:val="48B6181F"/>
    <w:rsid w:val="48C51E23"/>
    <w:rsid w:val="498E13D6"/>
    <w:rsid w:val="4C237099"/>
    <w:rsid w:val="4C7616E3"/>
    <w:rsid w:val="4D017F84"/>
    <w:rsid w:val="4DC173C4"/>
    <w:rsid w:val="4F020EA5"/>
    <w:rsid w:val="4F8E09DD"/>
    <w:rsid w:val="4FB05ACA"/>
    <w:rsid w:val="504338E1"/>
    <w:rsid w:val="50AE6708"/>
    <w:rsid w:val="51432058"/>
    <w:rsid w:val="514508DB"/>
    <w:rsid w:val="51F647EE"/>
    <w:rsid w:val="53061C45"/>
    <w:rsid w:val="53634C01"/>
    <w:rsid w:val="53BC42EA"/>
    <w:rsid w:val="53F73BF9"/>
    <w:rsid w:val="5434028C"/>
    <w:rsid w:val="56156C24"/>
    <w:rsid w:val="563B59C0"/>
    <w:rsid w:val="56F7330C"/>
    <w:rsid w:val="572D000A"/>
    <w:rsid w:val="5747709E"/>
    <w:rsid w:val="583940F0"/>
    <w:rsid w:val="59361E5E"/>
    <w:rsid w:val="59A0270B"/>
    <w:rsid w:val="5A054982"/>
    <w:rsid w:val="5A5D164A"/>
    <w:rsid w:val="5A7823C2"/>
    <w:rsid w:val="5A7C65DA"/>
    <w:rsid w:val="5AB51891"/>
    <w:rsid w:val="5BEF0163"/>
    <w:rsid w:val="5C62692B"/>
    <w:rsid w:val="5C706503"/>
    <w:rsid w:val="5C997FF6"/>
    <w:rsid w:val="5CC72739"/>
    <w:rsid w:val="5CDF38BA"/>
    <w:rsid w:val="5D494519"/>
    <w:rsid w:val="5D4B4EE2"/>
    <w:rsid w:val="5D9A1A4B"/>
    <w:rsid w:val="5DE522FA"/>
    <w:rsid w:val="5E291FBC"/>
    <w:rsid w:val="5E4A0B82"/>
    <w:rsid w:val="5F533DD6"/>
    <w:rsid w:val="5FD23F7B"/>
    <w:rsid w:val="5FDE7779"/>
    <w:rsid w:val="601144F9"/>
    <w:rsid w:val="60D05CAB"/>
    <w:rsid w:val="6151223C"/>
    <w:rsid w:val="62436094"/>
    <w:rsid w:val="62637F9C"/>
    <w:rsid w:val="62B77F58"/>
    <w:rsid w:val="62E94FF3"/>
    <w:rsid w:val="63540E88"/>
    <w:rsid w:val="646709F5"/>
    <w:rsid w:val="64756940"/>
    <w:rsid w:val="64B12065"/>
    <w:rsid w:val="64C724C3"/>
    <w:rsid w:val="65563F33"/>
    <w:rsid w:val="65711CFD"/>
    <w:rsid w:val="65AF02B8"/>
    <w:rsid w:val="65B879F3"/>
    <w:rsid w:val="66467096"/>
    <w:rsid w:val="6679056C"/>
    <w:rsid w:val="66D13DBD"/>
    <w:rsid w:val="66EA1517"/>
    <w:rsid w:val="67D627C1"/>
    <w:rsid w:val="67E05331"/>
    <w:rsid w:val="691427CE"/>
    <w:rsid w:val="6A576E16"/>
    <w:rsid w:val="6ABC3F28"/>
    <w:rsid w:val="6B2F7085"/>
    <w:rsid w:val="6C645BEC"/>
    <w:rsid w:val="6C6B2319"/>
    <w:rsid w:val="6D5D2181"/>
    <w:rsid w:val="6D714616"/>
    <w:rsid w:val="6DB63E53"/>
    <w:rsid w:val="6DC42576"/>
    <w:rsid w:val="6DDC4BA6"/>
    <w:rsid w:val="6E0D7EC3"/>
    <w:rsid w:val="6EDD12DA"/>
    <w:rsid w:val="6EF329A0"/>
    <w:rsid w:val="70080E02"/>
    <w:rsid w:val="706C0034"/>
    <w:rsid w:val="706F6F1D"/>
    <w:rsid w:val="70D339BB"/>
    <w:rsid w:val="71621F82"/>
    <w:rsid w:val="71C71473"/>
    <w:rsid w:val="71D249BD"/>
    <w:rsid w:val="71D32F0B"/>
    <w:rsid w:val="724D0CB2"/>
    <w:rsid w:val="728B5337"/>
    <w:rsid w:val="72A15258"/>
    <w:rsid w:val="72A45F92"/>
    <w:rsid w:val="72AA5CC0"/>
    <w:rsid w:val="72BC63B0"/>
    <w:rsid w:val="72CB1475"/>
    <w:rsid w:val="72D74F98"/>
    <w:rsid w:val="72EB459F"/>
    <w:rsid w:val="73904875"/>
    <w:rsid w:val="73C024AE"/>
    <w:rsid w:val="73EE673E"/>
    <w:rsid w:val="751C4CF3"/>
    <w:rsid w:val="759F1610"/>
    <w:rsid w:val="75AF23A2"/>
    <w:rsid w:val="75F4636B"/>
    <w:rsid w:val="76473171"/>
    <w:rsid w:val="776B1C19"/>
    <w:rsid w:val="77827EF9"/>
    <w:rsid w:val="77B204A9"/>
    <w:rsid w:val="78354088"/>
    <w:rsid w:val="78731F54"/>
    <w:rsid w:val="79224A93"/>
    <w:rsid w:val="79CC7753"/>
    <w:rsid w:val="7AC96C2C"/>
    <w:rsid w:val="7AD955C2"/>
    <w:rsid w:val="7B1B3BCC"/>
    <w:rsid w:val="7B263365"/>
    <w:rsid w:val="7B7F0A58"/>
    <w:rsid w:val="7B8F7B1B"/>
    <w:rsid w:val="7BAE6AB2"/>
    <w:rsid w:val="7BD82BF5"/>
    <w:rsid w:val="7C046DA9"/>
    <w:rsid w:val="7C380AF8"/>
    <w:rsid w:val="7D016681"/>
    <w:rsid w:val="7D2006AE"/>
    <w:rsid w:val="7D733B0F"/>
    <w:rsid w:val="7D8D5C2F"/>
    <w:rsid w:val="7E977EBF"/>
    <w:rsid w:val="7EF957A7"/>
    <w:rsid w:val="7FC20D14"/>
    <w:rsid w:val="7FCB6251"/>
    <w:rsid w:val="7FD53BF4"/>
    <w:rsid w:val="7FE579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semiHidden/>
    <w:unhideWhenUsed/>
    <w:qFormat/>
    <w:locked/>
    <w:uiPriority w:val="0"/>
    <w:pPr>
      <w:spacing w:beforeAutospacing="1" w:afterAutospacing="1"/>
      <w:jc w:val="left"/>
      <w:outlineLvl w:val="1"/>
    </w:pPr>
    <w:rPr>
      <w:rFonts w:hint="eastAsia" w:ascii="宋体" w:hAnsi="宋体"/>
      <w:b/>
      <w:bCs/>
      <w:kern w:val="0"/>
      <w:sz w:val="36"/>
      <w:szCs w:val="36"/>
    </w:rPr>
  </w:style>
  <w:style w:type="paragraph" w:styleId="4">
    <w:name w:val="heading 3"/>
    <w:basedOn w:val="1"/>
    <w:next w:val="1"/>
    <w:semiHidden/>
    <w:unhideWhenUsed/>
    <w:qFormat/>
    <w:locked/>
    <w:uiPriority w:val="0"/>
    <w:pPr>
      <w:spacing w:beforeAutospacing="1" w:afterAutospacing="1"/>
      <w:jc w:val="left"/>
      <w:outlineLvl w:val="2"/>
    </w:pPr>
    <w:rPr>
      <w:rFonts w:hint="eastAsia" w:ascii="宋体" w:hAnsi="宋体"/>
      <w:b/>
      <w:bCs/>
      <w:kern w:val="0"/>
      <w:sz w:val="27"/>
      <w:szCs w:val="27"/>
    </w:rPr>
  </w:style>
  <w:style w:type="paragraph" w:styleId="5">
    <w:name w:val="heading 5"/>
    <w:basedOn w:val="1"/>
    <w:next w:val="1"/>
    <w:semiHidden/>
    <w:unhideWhenUsed/>
    <w:qFormat/>
    <w:locked/>
    <w:uiPriority w:val="0"/>
    <w:pPr>
      <w:spacing w:beforeAutospacing="1" w:afterAutospacing="1"/>
      <w:jc w:val="left"/>
      <w:outlineLvl w:val="4"/>
    </w:pPr>
    <w:rPr>
      <w:rFonts w:hint="eastAsia" w:ascii="宋体" w:hAnsi="宋体"/>
      <w:b/>
      <w:bCs/>
      <w:kern w:val="0"/>
      <w:sz w:val="20"/>
      <w:szCs w:val="2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link w:val="22"/>
    <w:qFormat/>
    <w:uiPriority w:val="99"/>
    <w:pPr>
      <w:spacing w:line="320" w:lineRule="exact"/>
    </w:pPr>
    <w:rPr>
      <w:rFonts w:ascii="宋体" w:hAnsi="宋体"/>
      <w:sz w:val="24"/>
    </w:rPr>
  </w:style>
  <w:style w:type="paragraph" w:styleId="8">
    <w:name w:val="Plain Text"/>
    <w:basedOn w:val="1"/>
    <w:link w:val="23"/>
    <w:qFormat/>
    <w:uiPriority w:val="99"/>
    <w:rPr>
      <w:rFonts w:ascii="宋体" w:hAnsi="Courier New" w:cs="Courier New"/>
      <w:szCs w:val="21"/>
    </w:rPr>
  </w:style>
  <w:style w:type="paragraph" w:styleId="9">
    <w:name w:val="Balloon Text"/>
    <w:basedOn w:val="1"/>
    <w:link w:val="25"/>
    <w:semiHidden/>
    <w:unhideWhenUsed/>
    <w:qFormat/>
    <w:uiPriority w:val="99"/>
    <w:rPr>
      <w:sz w:val="18"/>
      <w:szCs w:val="18"/>
    </w:rPr>
  </w:style>
  <w:style w:type="paragraph" w:styleId="10">
    <w:name w:val="footer"/>
    <w:basedOn w:val="1"/>
    <w:link w:val="20"/>
    <w:qFormat/>
    <w:uiPriority w:val="99"/>
    <w:pPr>
      <w:tabs>
        <w:tab w:val="center" w:pos="4153"/>
        <w:tab w:val="right" w:pos="8306"/>
      </w:tabs>
      <w:snapToGrid w:val="0"/>
      <w:jc w:val="left"/>
    </w:pPr>
    <w:rPr>
      <w:sz w:val="18"/>
      <w:szCs w:val="18"/>
    </w:rPr>
  </w:style>
  <w:style w:type="paragraph" w:styleId="11">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99"/>
  </w:style>
  <w:style w:type="paragraph" w:styleId="13">
    <w:name w:val="Normal (Web)"/>
    <w:basedOn w:val="1"/>
    <w:semiHidden/>
    <w:unhideWhenUsed/>
    <w:qFormat/>
    <w:uiPriority w:val="99"/>
    <w:pPr>
      <w:spacing w:beforeAutospacing="1" w:afterAutospacing="1"/>
      <w:jc w:val="left"/>
    </w:pPr>
    <w:rPr>
      <w:kern w:val="0"/>
      <w:sz w:val="24"/>
    </w:rPr>
  </w:style>
  <w:style w:type="table" w:styleId="15">
    <w:name w:val="Table Grid"/>
    <w:basedOn w:val="14"/>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qFormat/>
    <w:uiPriority w:val="99"/>
    <w:rPr>
      <w:rFonts w:cs="Times New Roman"/>
    </w:rPr>
  </w:style>
  <w:style w:type="character" w:styleId="18">
    <w:name w:val="Emphasis"/>
    <w:basedOn w:val="16"/>
    <w:qFormat/>
    <w:locked/>
    <w:uiPriority w:val="0"/>
    <w:rPr>
      <w:i/>
    </w:rPr>
  </w:style>
  <w:style w:type="character" w:styleId="19">
    <w:name w:val="Hyperlink"/>
    <w:unhideWhenUsed/>
    <w:qFormat/>
    <w:uiPriority w:val="99"/>
    <w:rPr>
      <w:color w:val="0000FF"/>
      <w:u w:val="single"/>
    </w:rPr>
  </w:style>
  <w:style w:type="character" w:customStyle="1" w:styleId="20">
    <w:name w:val="页脚 字符"/>
    <w:link w:val="10"/>
    <w:qFormat/>
    <w:locked/>
    <w:uiPriority w:val="99"/>
    <w:rPr>
      <w:rFonts w:ascii="Times New Roman" w:hAnsi="Times New Roman" w:eastAsia="宋体" w:cs="Times New Roman"/>
      <w:sz w:val="18"/>
      <w:szCs w:val="18"/>
    </w:rPr>
  </w:style>
  <w:style w:type="character" w:customStyle="1" w:styleId="21">
    <w:name w:val="页眉 字符"/>
    <w:link w:val="11"/>
    <w:qFormat/>
    <w:locked/>
    <w:uiPriority w:val="99"/>
    <w:rPr>
      <w:rFonts w:ascii="Times New Roman" w:hAnsi="Times New Roman" w:eastAsia="宋体" w:cs="Times New Roman"/>
      <w:sz w:val="18"/>
      <w:szCs w:val="18"/>
    </w:rPr>
  </w:style>
  <w:style w:type="character" w:customStyle="1" w:styleId="22">
    <w:name w:val="正文文本 字符"/>
    <w:link w:val="7"/>
    <w:qFormat/>
    <w:locked/>
    <w:uiPriority w:val="99"/>
    <w:rPr>
      <w:rFonts w:ascii="宋体" w:hAnsi="宋体" w:eastAsia="宋体" w:cs="Times New Roman"/>
      <w:sz w:val="24"/>
      <w:szCs w:val="24"/>
    </w:rPr>
  </w:style>
  <w:style w:type="character" w:customStyle="1" w:styleId="23">
    <w:name w:val="纯文本 字符"/>
    <w:link w:val="8"/>
    <w:qFormat/>
    <w:locked/>
    <w:uiPriority w:val="99"/>
    <w:rPr>
      <w:rFonts w:ascii="宋体" w:hAnsi="Courier New" w:eastAsia="宋体" w:cs="Courier New"/>
      <w:sz w:val="21"/>
      <w:szCs w:val="21"/>
    </w:rPr>
  </w:style>
  <w:style w:type="paragraph" w:styleId="24">
    <w:name w:val="List Paragraph"/>
    <w:basedOn w:val="1"/>
    <w:qFormat/>
    <w:uiPriority w:val="99"/>
    <w:pPr>
      <w:ind w:firstLine="420" w:firstLineChars="200"/>
    </w:pPr>
  </w:style>
  <w:style w:type="character" w:customStyle="1" w:styleId="25">
    <w:name w:val="批注框文本 字符"/>
    <w:link w:val="9"/>
    <w:semiHidden/>
    <w:qFormat/>
    <w:uiPriority w:val="99"/>
    <w:rPr>
      <w:rFonts w:ascii="Times New Roman" w:hAnsi="Times New Roman"/>
      <w:kern w:val="2"/>
      <w:sz w:val="18"/>
      <w:szCs w:val="18"/>
    </w:rPr>
  </w:style>
  <w:style w:type="paragraph" w:customStyle="1" w:styleId="26">
    <w:name w:val="Body text|2"/>
    <w:basedOn w:val="1"/>
    <w:qFormat/>
    <w:uiPriority w:val="0"/>
    <w:pPr>
      <w:spacing w:after="300"/>
    </w:pPr>
    <w:rPr>
      <w:rFonts w:ascii="宋体" w:hAnsi="宋体" w:cs="宋体"/>
      <w:sz w:val="28"/>
      <w:szCs w:val="28"/>
      <w:lang w:val="zh-TW" w:eastAsia="zh-TW" w:bidi="zh-TW"/>
    </w:rPr>
  </w:style>
  <w:style w:type="paragraph" w:customStyle="1" w:styleId="27">
    <w:name w:val="样式 标题 3 + 左侧:  0 厘米 段前: 5 磅 段后: 5 磅 行距: 单倍行距"/>
    <w:basedOn w:val="4"/>
    <w:qFormat/>
    <w:uiPriority w:val="0"/>
    <w:pPr>
      <w:numPr>
        <w:ilvl w:val="2"/>
        <w:numId w:val="1"/>
      </w:numPr>
      <w:tabs>
        <w:tab w:val="left" w:pos="709"/>
      </w:tabs>
      <w:spacing w:before="100" w:after="100"/>
    </w:pPr>
    <w:rPr>
      <w:rFonts w:eastAsia="黑体" w:cs="宋体"/>
      <w:b w:val="0"/>
      <w:bCs w:val="0"/>
      <w:sz w:val="24"/>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2290</Words>
  <Characters>2647</Characters>
  <Lines>28</Lines>
  <Paragraphs>8</Paragraphs>
  <TotalTime>13</TotalTime>
  <ScaleCrop>false</ScaleCrop>
  <LinksUpToDate>false</LinksUpToDate>
  <CharactersWithSpaces>2657</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2025-05-28T02:50:00Z</dcterms:created>
  <dc:creator>Microsoft</dc:creator>
  <cp:lastModifiedBy>Administrator</cp:lastModifiedBy>
  <dcterms:modified xsi:type="dcterms:W3CDTF">2025-10-20T01:23:52Z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A8DB99A010934A548C5F555DDB768C11</vt:lpwstr>
  </property>
  <property fmtid="{D5CDD505-2E9C-101B-9397-08002B2CF9AE}" pid="4" name="KSOTemplateDocerSaveRecord">
    <vt:lpwstr>eyJoZGlkIjoiYjE4NzEzOTFlZDNkMmUxMGVjYzAxYmEzOTY3OTQwNzEiLCJ1c2VySWQiOiI5ODM5MTQyNDIifQ==</vt:lpwstr>
  </property>
</Properties>
</file>