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rPr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《</w:t>
      </w:r>
      <w:r>
        <w:rPr>
          <w:rFonts w:hint="eastAsia"/>
          <w:sz w:val="44"/>
          <w:szCs w:val="44"/>
          <w:lang w:val="en-US" w:eastAsia="zh-CN"/>
        </w:rPr>
        <w:t>漆包绕组线剥离试验仪校准规范</w:t>
      </w:r>
      <w:r>
        <w:rPr>
          <w:rFonts w:hint="eastAsia"/>
          <w:sz w:val="44"/>
          <w:szCs w:val="44"/>
          <w:lang w:eastAsia="zh-CN"/>
        </w:rPr>
        <w:t>》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编制说明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ascii="宋体" w:hAnsi="宋体"/>
          <w:bCs/>
          <w:sz w:val="32"/>
        </w:rPr>
      </w:pPr>
      <w:r>
        <w:rPr>
          <w:rFonts w:hint="eastAsia" w:ascii="宋体" w:hAnsi="宋体"/>
          <w:bCs/>
          <w:sz w:val="32"/>
        </w:rPr>
        <w:t>规范起草小组</w:t>
      </w:r>
    </w:p>
    <w:p>
      <w:pPr>
        <w:jc w:val="center"/>
        <w:rPr>
          <w:rFonts w:hint="eastAsia" w:ascii="宋体" w:hAnsi="宋体"/>
          <w:bCs/>
          <w:sz w:val="32"/>
        </w:rPr>
      </w:pPr>
      <w:r>
        <w:rPr>
          <w:rFonts w:hint="eastAsia" w:ascii="宋体" w:hAnsi="宋体"/>
          <w:bCs/>
          <w:sz w:val="32"/>
        </w:rPr>
        <w:t>2025年</w:t>
      </w:r>
      <w:r>
        <w:rPr>
          <w:rFonts w:hint="eastAsia" w:ascii="宋体" w:hAnsi="宋体"/>
          <w:bCs/>
          <w:sz w:val="32"/>
          <w:lang w:val="en-US" w:eastAsia="zh-CN"/>
        </w:rPr>
        <w:t>11</w:t>
      </w:r>
      <w:r>
        <w:rPr>
          <w:rFonts w:hint="eastAsia" w:ascii="宋体" w:hAnsi="宋体"/>
          <w:bCs/>
          <w:sz w:val="32"/>
        </w:rPr>
        <w:t>月</w:t>
      </w:r>
    </w:p>
    <w:p>
      <w:pPr>
        <w:jc w:val="center"/>
        <w:rPr>
          <w:rFonts w:hint="eastAsia" w:ascii="宋体" w:hAnsi="宋体"/>
          <w:bCs/>
          <w:sz w:val="32"/>
        </w:rPr>
      </w:pPr>
      <w:bookmarkStart w:id="1" w:name="_GoBack"/>
      <w:bookmarkEnd w:id="1"/>
    </w:p>
    <w:p>
      <w:pPr>
        <w:jc w:val="center"/>
        <w:rPr>
          <w:rFonts w:hint="eastAsia" w:ascii="宋体" w:hAnsi="宋体"/>
          <w:bCs/>
          <w:sz w:val="32"/>
          <w:lang w:val="en-US" w:eastAsia="zh-CN"/>
        </w:rPr>
      </w:pPr>
      <w:r>
        <w:rPr>
          <w:rFonts w:hint="eastAsia" w:ascii="宋体" w:hAnsi="宋体"/>
          <w:bCs/>
          <w:sz w:val="32"/>
          <w:lang w:val="en-US" w:eastAsia="zh-CN"/>
        </w:rPr>
        <w:t>漆包绕组线剥离试验仪校准规范编制说明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任务来源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根据河南省市场监督管理局《关于印发 2025 年度河南省地方计量技术规范制修订计划项目的通知》（豫市监办〔2025〕64号），《漆包绕组线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剥离试验仪</w:t>
      </w:r>
      <w:r>
        <w:rPr>
          <w:rFonts w:hint="default" w:ascii="Times New Roman" w:hAnsi="Times New Roman" w:eastAsia="宋体" w:cs="Times New Roman"/>
          <w:sz w:val="24"/>
        </w:rPr>
        <w:t>》地方计量校准规范由河南省计量测试科学研究院为主要起草单位。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编制依据和原则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GB/T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4074.3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绕组线试验方法第3部分：机械性能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JB/T 4279.6 《漆包绕组线试验仪器设备检定方法第6部分：剥离试验仪》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2、编写原则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漆包绕组线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剥离试验仪</w:t>
      </w:r>
      <w:r>
        <w:rPr>
          <w:rFonts w:hint="default" w:ascii="Times New Roman" w:hAnsi="Times New Roman" w:eastAsia="宋体" w:cs="Times New Roman"/>
          <w:sz w:val="24"/>
        </w:rPr>
        <w:t>作为针对测试漆包绕组线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漆膜附着性能</w:t>
      </w:r>
      <w:r>
        <w:rPr>
          <w:rFonts w:hint="default" w:ascii="Times New Roman" w:hAnsi="Times New Roman" w:eastAsia="宋体" w:cs="Times New Roman"/>
          <w:sz w:val="24"/>
        </w:rPr>
        <w:t>的专用仪器，广泛运用于电线电缆制造领域，其示值准确直接关系到电线电缆质量。在编制的过程中，起草小组掌握以下原则：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= 1 \* GB3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①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t>技术上应与现行国家标准统一；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= 2 \* GB3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②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t>便携、易于检测；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</w:rPr>
        <w:instrText xml:space="preserve"> = 3 \* GB3 </w:instrText>
      </w:r>
      <w:r>
        <w:rPr>
          <w:rFonts w:hint="default" w:ascii="Times New Roman" w:hAnsi="Times New Roman" w:eastAsia="宋体" w:cs="Times New Roman"/>
          <w:sz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</w:rPr>
        <w:t>③</w:t>
      </w:r>
      <w:r>
        <w:rPr>
          <w:rFonts w:hint="default" w:ascii="Times New Roman" w:hAnsi="Times New Roman" w:eastAsia="宋体" w:cs="Times New Roman"/>
          <w:sz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</w:rPr>
        <w:t>体现可操作性和可行性。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</w:rPr>
        <w:t>三、编制过程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漆包绕组线剥离试验仪是测试绕组线漆膜附着性能的关键计量设备，随着漆包绕组线新的国家标准和行业标准的发布，于1999年发布的</w:t>
      </w:r>
      <w:r>
        <w:rPr>
          <w:rFonts w:hint="default" w:ascii="Times New Roman" w:hAnsi="Times New Roman" w:eastAsia="宋体" w:cs="Times New Roman"/>
          <w:sz w:val="24"/>
        </w:rPr>
        <w:t>JJ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sz w:val="24"/>
        </w:rPr>
        <w:t>（豫）11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</w:rPr>
        <w:t>-1999《漆包绕组线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剥离试验仪</w:t>
      </w:r>
      <w:r>
        <w:rPr>
          <w:rFonts w:hint="default" w:ascii="Times New Roman" w:hAnsi="Times New Roman" w:eastAsia="宋体" w:cs="Times New Roman"/>
          <w:sz w:val="24"/>
        </w:rPr>
        <w:t>校准规范》已难以满足仪器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的校准</w:t>
      </w:r>
      <w:r>
        <w:rPr>
          <w:rFonts w:hint="default" w:ascii="Times New Roman" w:hAnsi="Times New Roman" w:eastAsia="宋体" w:cs="Times New Roman"/>
          <w:sz w:val="24"/>
        </w:rPr>
        <w:t>需求。基于以上情况，提出对该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规范</w:t>
      </w:r>
      <w:r>
        <w:rPr>
          <w:rFonts w:hint="default" w:ascii="Times New Roman" w:hAnsi="Times New Roman" w:eastAsia="宋体" w:cs="Times New Roman"/>
          <w:sz w:val="24"/>
        </w:rPr>
        <w:t>进行修订。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2025年接到起草任务，初步拟定工作计划；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   2025年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</w:rPr>
        <w:t>月开展实验；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2025年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</w:rPr>
        <w:t>月末完成征求意见稿并发放给相关单位广泛征求意见，对回函所提出的意见起草小组进行了认真的讨论和论证，在此基础上进一步修改；</w:t>
      </w:r>
    </w:p>
    <w:p>
      <w:pPr>
        <w:spacing w:line="360" w:lineRule="auto"/>
        <w:ind w:firstLine="360" w:firstLineChars="15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2025年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</w:rPr>
        <w:t>月，通过实地调研、电话咨询等，对突出的矛盾焦点部分与相关领域专家达成一致意见，在此基础上编写报审稿。</w:t>
      </w:r>
    </w:p>
    <w:p>
      <w:pPr>
        <w:numPr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四、编写说明</w:t>
      </w:r>
      <w:r>
        <w:rPr>
          <w:rFonts w:hint="default" w:ascii="Times New Roman" w:hAnsi="Times New Roman" w:eastAsia="宋体" w:cs="Times New Roman"/>
          <w:sz w:val="24"/>
        </w:rPr>
        <w:t xml:space="preserve"> </w:t>
      </w:r>
    </w:p>
    <w:p>
      <w:pPr>
        <w:numPr>
          <w:numId w:val="0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本规范根据国家标准和行业规范，结合目前漆包绕组线剥离试验仪的实际情况进行编写，具体情况如下：</w:t>
      </w:r>
    </w:p>
    <w:p>
      <w:pPr>
        <w:numPr>
          <w:ilvl w:val="0"/>
          <w:numId w:val="3"/>
        </w:numPr>
        <w:spacing w:line="360" w:lineRule="auto"/>
        <w:ind w:leftChars="0"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编写格式</w:t>
      </w:r>
    </w:p>
    <w:p>
      <w:pPr>
        <w:numPr>
          <w:numId w:val="0"/>
        </w:numPr>
        <w:spacing w:line="360" w:lineRule="auto"/>
        <w:ind w:left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编写格式依据JJF1071-2010《国家计量校准规范编写规则》</w:t>
      </w:r>
    </w:p>
    <w:p>
      <w:pPr>
        <w:numPr>
          <w:ilvl w:val="0"/>
          <w:numId w:val="3"/>
        </w:numPr>
        <w:spacing w:line="360" w:lineRule="auto"/>
        <w:ind w:left="0" w:leftChars="0"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适用范围</w:t>
      </w:r>
    </w:p>
    <w:p>
      <w:pPr>
        <w:numPr>
          <w:numId w:val="0"/>
        </w:numPr>
        <w:spacing w:line="360" w:lineRule="auto"/>
        <w:ind w:left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适用范围没有变化，依然采用的是原校准规范的适用范围</w:t>
      </w:r>
    </w:p>
    <w:p>
      <w:pPr>
        <w:numPr>
          <w:ilvl w:val="0"/>
          <w:numId w:val="3"/>
        </w:numPr>
        <w:spacing w:line="360" w:lineRule="auto"/>
        <w:ind w:left="0" w:leftChars="0"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引用文件</w:t>
      </w:r>
    </w:p>
    <w:p>
      <w:pPr>
        <w:numPr>
          <w:numId w:val="0"/>
        </w:numPr>
        <w:spacing w:line="360" w:lineRule="auto"/>
        <w:ind w:left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本规范主要引用了两份标准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11"/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GB/T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4074.3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绕组线试验方法第3部分：机械性能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JB/T 4279.6 《漆包绕组线试验仪器设备检定方法第6部分：剥离试验仪》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本规范的技术参数主要引用了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JB/T 4279.6 《漆包绕组线试验仪器设备检定方法第6部分：剥离试验仪》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的主要参数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概述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描述了剥离试验仪的结构、原理和用途。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计量特性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根据最新的GB/T 4074.3和JB/T 4279.6，将拉紧力负荷的测量点增加到从25N到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400N的七个测量点，从而覆盖了各种标称直径的漆包绕组线所需要用到的拉紧力。</w:t>
      </w:r>
    </w:p>
    <w:p>
      <w:pPr>
        <w:numPr>
          <w:ilvl w:val="0"/>
          <w:numId w:val="3"/>
        </w:numPr>
        <w:spacing w:line="360" w:lineRule="auto"/>
        <w:ind w:left="0" w:leftChars="0"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校准条件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剥离试验仪的扭转速度的测量标准器摒弃了传统的秒表测量，采用的是转速表直接测量的方式，这样更准确，测量的重复性也较好。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负荷的测量由于增加了测量点，因此将电子秤的量程增大以满足校准需求，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根据数字指示秤的检定规程，将分度值定为10g可满足计量特性的要求。</w:t>
      </w:r>
    </w:p>
    <w:p>
      <w:pPr>
        <w:numPr>
          <w:numId w:val="0"/>
        </w:numPr>
        <w:spacing w:line="360" w:lineRule="auto"/>
        <w:ind w:left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7、校准项目和校准方法</w:t>
      </w:r>
    </w:p>
    <w:p>
      <w:pPr>
        <w:numPr>
          <w:numId w:val="0"/>
        </w:numPr>
        <w:spacing w:line="360" w:lineRule="auto"/>
        <w:ind w:left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两夹具间的距离使用钢卷尺重复测量三次，将算术平均值作为测量结果。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扭转速度使用转速表重复测量五次，将算术平均值作为测量结果，因为转速读取较快，因此将转速的测量次数定为了五次。</w:t>
      </w:r>
    </w:p>
    <w:p>
      <w:pPr>
        <w:numPr>
          <w:numId w:val="0"/>
        </w:numPr>
        <w:spacing w:line="360" w:lineRule="auto"/>
        <w:ind w:left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8、校准结果</w:t>
      </w:r>
    </w:p>
    <w:p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ascii="宋体" w:hAnsi="宋体"/>
          <w:color w:val="000000"/>
          <w:sz w:val="24"/>
        </w:rPr>
        <w:t>校准结果的表达主要参考了JJF 1071-2010中5.12条要求。</w:t>
      </w:r>
    </w:p>
    <w:p>
      <w:pPr>
        <w:numPr>
          <w:ilvl w:val="0"/>
          <w:numId w:val="4"/>
        </w:numPr>
        <w:spacing w:line="360" w:lineRule="auto"/>
        <w:ind w:left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附录A</w:t>
      </w:r>
    </w:p>
    <w:p>
      <w:pPr>
        <w:numPr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将夹具间距离、扭转速度和拉紧力的测量结果分别进行了不确定度的评定。</w:t>
      </w:r>
    </w:p>
    <w:p>
      <w:pPr>
        <w:jc w:val="righ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规范起草小组</w:t>
      </w:r>
    </w:p>
    <w:p>
      <w:pPr>
        <w:jc w:val="right"/>
        <w:rPr>
          <w:rFonts w:hint="default" w:ascii="宋体" w:hAnsi="宋体"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2025年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DC8C5"/>
    <w:multiLevelType w:val="singleLevel"/>
    <w:tmpl w:val="BD9DC8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A1AC76"/>
    <w:multiLevelType w:val="singleLevel"/>
    <w:tmpl w:val="C1A1AC76"/>
    <w:lvl w:ilvl="0" w:tentative="0">
      <w:start w:val="9"/>
      <w:numFmt w:val="decimal"/>
      <w:suff w:val="nothing"/>
      <w:lvlText w:val="%1、"/>
      <w:lvlJc w:val="left"/>
    </w:lvl>
  </w:abstractNum>
  <w:abstractNum w:abstractNumId="2">
    <w:nsid w:val="D9367F6E"/>
    <w:multiLevelType w:val="singleLevel"/>
    <w:tmpl w:val="D9367F6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6C00365"/>
    <w:multiLevelType w:val="singleLevel"/>
    <w:tmpl w:val="F6C003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DlkMmY5MDYwYTU1MzIzOTZlNGE4MjQ5ZTkwMmIifQ=="/>
  </w:docVars>
  <w:rsids>
    <w:rsidRoot w:val="00000000"/>
    <w:rsid w:val="17C8432F"/>
    <w:rsid w:val="7E20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2025-11-20T08:13:33Z</dcterms:created>
  <dc:creator>pc</dc:creator>
  <cp:lastModifiedBy>明明</cp:lastModifiedBy>
  <dcterms:modified xsi:type="dcterms:W3CDTF">2025-11-21T02:33:15Z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D1D3B0DC2C224F88983A9EA571C71467_12</vt:lpwstr>
  </property>
</Properties>
</file>